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widowControl/>
        <w:spacing w:after="40"/>
      </w:pPr>
      <w:r>
        <w:rPr>
          <w:rFonts w:ascii="Aptos" w:hAnsi="Aptos"/>
          <w:color w:val="17365D"/>
          <w:sz w:val="52"/>
        </w:rPr>
        <w:t>CIV-CARE P001 – Onderzoeksmatrix</w:t>
      </w:r>
    </w:p>
    <w:p>
      <w:pPr>
        <w:widowControl/>
        <w:spacing w:after="320"/>
      </w:pPr>
      <w:r>
        <w:rPr>
          <w:rFonts w:ascii="Aptos" w:hAnsi="Aptos"/>
          <w:b/>
          <w:color w:val="17365D"/>
          <w:sz w:val="34"/>
        </w:rPr>
        <w:t>Residentiële jeugdzorg als safeguarding-omgeving</w:t>
      </w:r>
    </w:p>
    <w:p>
      <w:pPr>
        <w:keepLines w:val="0"/>
        <w:widowControl/>
        <w:spacing w:after="60" w:line="259" w:lineRule="auto"/>
      </w:pPr>
      <w:r>
        <w:rPr>
          <w:rFonts w:ascii="Aptos" w:hAnsi="Aptos"/>
          <w:b/>
          <w:i w:val="0"/>
          <w:sz w:val="21"/>
        </w:rPr>
        <w:t>Versie: 0.1 – 26 augustus 2026</w:t>
      </w:r>
    </w:p>
    <w:p>
      <w:pPr>
        <w:keepLines w:val="0"/>
        <w:widowControl/>
        <w:spacing w:after="160" w:line="259" w:lineRule="auto"/>
      </w:pPr>
      <w:r>
        <w:rPr>
          <w:rFonts w:ascii="Aptos" w:hAnsi="Aptos"/>
          <w:b w:val="0"/>
          <w:i w:val="0"/>
          <w:sz w:val="21"/>
        </w:rPr>
        <w:t>Werkhypothese: niet onderzoeken of jeugdzorgmedewerkers “psychopaten zijn”, maar of de institutionele architectuur voldoende bestand is tegen een professional die manipulatief, gewetenloos, seksueel grensoverschrijdend, controlerend of anderszins kwaadwillend handelt.</w:t>
      </w:r>
    </w:p>
    <w:p>
      <w:pPr>
        <w:keepLines w:val="0"/>
        <w:widowControl/>
        <w:spacing w:after="40" w:line="259" w:lineRule="auto"/>
      </w:pPr>
      <w:r>
        <w:rPr>
          <w:rFonts w:ascii="Aptos" w:hAnsi="Aptos"/>
          <w:b/>
          <w:i w:val="0"/>
          <w:sz w:val="21"/>
        </w:rPr>
        <w:t>Voorgestelde bestandsnaam voor latere formalisering:</w:t>
      </w:r>
    </w:p>
    <w:p>
      <w:pPr>
        <w:keepLines w:val="0"/>
        <w:widowControl/>
        <w:spacing w:after="240" w:line="259" w:lineRule="auto"/>
      </w:pPr>
      <w:r>
        <w:rPr>
          <w:rFonts w:ascii="Aptos" w:hAnsi="Aptos"/>
          <w:b w:val="0"/>
          <w:i/>
          <w:sz w:val="21"/>
        </w:rPr>
        <w:t>CIV-CARE_P001_2026-08-26_van_AG-aan_KV_Onderzoeksmatrix-ResidentieleJeugdzorg-Safeguarding.docx</w:t>
      </w:r>
    </w:p>
    <w:p>
      <w:pPr>
        <w:pStyle w:val="Heading1"/>
        <w:keepLines w:val="0"/>
        <w:widowControl/>
        <w:spacing w:after="120" w:line="259" w:lineRule="auto"/>
      </w:pPr>
      <w:r>
        <w:rPr>
          <w:rFonts w:ascii="Aptos" w:hAnsi="Aptos"/>
          <w:b/>
          <w:i w:val="0"/>
          <w:sz w:val="32"/>
        </w:rPr>
        <w:t>1. Uitgangspunt</w:t>
      </w:r>
    </w:p>
    <w:p>
      <w:pPr>
        <w:keepLines w:val="0"/>
        <w:widowControl/>
        <w:spacing w:after="100" w:line="259" w:lineRule="auto"/>
      </w:pPr>
      <w:r>
        <w:rPr>
          <w:rFonts w:ascii="Aptos" w:hAnsi="Aptos"/>
          <w:b w:val="0"/>
          <w:i w:val="0"/>
          <w:sz w:val="21"/>
        </w:rPr>
        <w:t>De onderzoeksvraag wordt:</w:t>
      </w:r>
    </w:p>
    <w:tbl>
      <w:tblPr>
        <w:tblW w:type="auto" w:w="0"/>
        <w:tblLayout w:type="fixed"/>
        <w:tblLook w:firstColumn="1" w:firstRow="1" w:lastColumn="0" w:lastRow="0" w:noHBand="0" w:noVBand="1" w:val="04A0"/>
      </w:tblPr>
      <w:tblGrid>
        <w:gridCol w:w="9418"/>
      </w:tblGrid>
      <w:tr>
        <w:trPr>
          <w:cantSplit/>
        </w:trPr>
        <w:tc>
          <w:tcPr>
            <w:tcW w:type="dxa" w:w="9000"/>
            <w:shd w:fill="F7F9FB"/>
            <w:tcBorders>
              <w:left w:val="single" w:sz="18" w:space="0" w:color="17365D"/>
            </w:tcBorders>
            <w:tcMar>
              <w:top w:w="130" w:type="dxa"/>
              <w:start w:w="180" w:type="dxa"/>
              <w:bottom w:w="130" w:type="dxa"/>
              <w:end w:w="160" w:type="dxa"/>
            </w:tcMar>
          </w:tcPr>
          <w:p>
            <w:pPr>
              <w:spacing w:after="0"/>
            </w:pPr>
            <w:r>
              <w:rPr>
                <w:rFonts w:ascii="Aptos" w:hAnsi="Aptos"/>
                <w:i/>
                <w:color w:val="17365D"/>
                <w:sz w:val="22"/>
              </w:rPr>
              <w:t>Kan een kwetsbare minderjarige in residentiële jeugdhulp zelfstandig en zonder toestemming, filtering, toezicht of repercussies gebruikmaken van de beschermingsmechanismen die een kwaadwillende professional zouden kunnen ontmaskeren of stoppen?</w:t>
            </w:r>
          </w:p>
        </w:tc>
      </w:tr>
    </w:tbl>
    <w:p>
      <w:pPr>
        <w:widowControl/>
        <w:spacing w:after="0"/>
      </w:pPr>
    </w:p>
    <w:p>
      <w:pPr>
        <w:keepLines w:val="0"/>
        <w:widowControl/>
        <w:spacing w:after="160" w:line="259" w:lineRule="auto"/>
      </w:pPr>
      <w:r>
        <w:rPr>
          <w:rFonts w:ascii="Aptos" w:hAnsi="Aptos"/>
          <w:b w:val="0"/>
          <w:i w:val="0"/>
          <w:sz w:val="21"/>
        </w:rPr>
        <w:t>Dat is bewust een malicious-actor-test. We hoeven daarvoor niet te bewijzen dat een medewerker psychopathisch is. Als een systeem uitsluitend veilig is zolang iedere medewerker betrouwbaar, empathisch en integer is, is het systeem zelf onvoldoende veilig ontworpen.</w:t>
      </w:r>
    </w:p>
    <w:p>
      <w:pPr>
        <w:keepLines w:val="0"/>
        <w:widowControl/>
        <w:spacing w:after="200" w:line="259" w:lineRule="auto"/>
      </w:pPr>
      <w:r>
        <w:rPr>
          <w:rFonts w:ascii="Aptos" w:hAnsi="Aptos"/>
          <w:b w:val="0"/>
          <w:i w:val="0"/>
          <w:sz w:val="21"/>
        </w:rPr>
        <w:t>De schaal maakt die vraag relevant: in 2025 kregen circa 39.190 jongeren jeugdhulp met verblijf. Circa 17.930 kregen “overig verblijf”, doorgaans een leef- of behandelgroep, en 1.190 een gesloten plaatsing. (</w:t>
      </w:r>
      <w:hyperlink r:id="rId11">
        <w:r>
          <w:rPr>
            <w:rFonts w:ascii="Aptos" w:hAnsi="Aptos"/>
            <w:color w:val="0563C1"/>
            <w:sz w:val="21"/>
            <w:szCs w:val="21"/>
            <w:u w:val="single"/>
          </w:rPr>
          <w:t>cbs.nl</w:t>
        </w:r>
      </w:hyperlink>
      <w:r>
        <w:rPr>
          <w:rFonts w:ascii="Aptos" w:hAnsi="Aptos"/>
          <w:b w:val="0"/>
          <w:i w:val="0"/>
          <w:sz w:val="21"/>
        </w:rPr>
        <w:t>)</w:t>
      </w:r>
    </w:p>
    <w:p>
      <w:pPr>
        <w:pStyle w:val="Heading1"/>
        <w:keepLines w:val="0"/>
        <w:widowControl/>
        <w:spacing w:after="120" w:line="259" w:lineRule="auto"/>
      </w:pPr>
      <w:r>
        <w:rPr>
          <w:rFonts w:ascii="Aptos" w:hAnsi="Aptos"/>
          <w:b/>
          <w:i w:val="0"/>
          <w:sz w:val="32"/>
        </w:rPr>
        <w:t>2. Centrale hypothesen</w:t>
      </w:r>
    </w:p>
    <w:tbl>
      <w:tblPr>
        <w:tblStyle w:val="TableGrid"/>
        <w:tblW w:type="auto" w:w="0"/>
        <w:tblLayout w:type="fixed"/>
        <w:tblLook w:firstColumn="1" w:firstRow="1" w:lastColumn="0" w:lastRow="0" w:noHBand="0" w:noVBand="1" w:val="04A0"/>
      </w:tblPr>
      <w:tblGrid>
        <w:gridCol w:w="2354"/>
        <w:gridCol w:w="2354"/>
        <w:gridCol w:w="2354"/>
        <w:gridCol w:w="2354"/>
      </w:tblGrid>
      <w:tr>
        <w:trPr>
          <w:cantSplit/>
          <w:tblHeader w:val="true"/>
        </w:trPr>
        <w:tc>
          <w:tcPr>
            <w:tcW w:type="dxa" w:w="864"/>
            <w:shd w:fill="17365D"/>
            <w:vAlign w:val="center"/>
            <w:tcMar>
              <w:top w:w="85" w:type="dxa"/>
              <w:start w:w="100" w:type="dxa"/>
              <w:bottom w:w="85" w:type="dxa"/>
              <w:end w:w="100" w:type="dxa"/>
            </w:tcMar>
          </w:tcPr>
          <w:p>
            <w:pPr>
              <w:spacing w:after="0" w:line="240" w:lineRule="auto"/>
            </w:pPr>
            <w:r>
              <w:rPr>
                <w:rFonts w:ascii="Aptos" w:hAnsi="Aptos"/>
                <w:b/>
                <w:color w:val="FFFFFF"/>
                <w:sz w:val="18"/>
              </w:rPr>
            </w:r>
            <w:r>
              <w:rPr>
                <w:rFonts w:ascii="Aptos" w:hAnsi="Aptos"/>
                <w:b/>
                <w:i w:val="0"/>
                <w:color w:val="FFFFFF"/>
                <w:sz w:val="18"/>
              </w:rPr>
              <w:t>Code</w:t>
            </w:r>
          </w:p>
        </w:tc>
        <w:tc>
          <w:tcPr>
            <w:tcW w:type="dxa" w:w="3168"/>
            <w:shd w:fill="17365D"/>
            <w:vAlign w:val="center"/>
            <w:tcMar>
              <w:top w:w="85" w:type="dxa"/>
              <w:start w:w="100" w:type="dxa"/>
              <w:bottom w:w="85" w:type="dxa"/>
              <w:end w:w="100" w:type="dxa"/>
            </w:tcMar>
          </w:tcPr>
          <w:p>
            <w:pPr>
              <w:spacing w:after="0" w:line="240" w:lineRule="auto"/>
            </w:pPr>
            <w:r>
              <w:rPr>
                <w:rFonts w:ascii="Aptos" w:hAnsi="Aptos"/>
                <w:b/>
                <w:color w:val="FFFFFF"/>
                <w:sz w:val="18"/>
              </w:rPr>
            </w:r>
            <w:r>
              <w:rPr>
                <w:rFonts w:ascii="Aptos" w:hAnsi="Aptos"/>
                <w:b/>
                <w:i w:val="0"/>
                <w:color w:val="FFFFFF"/>
                <w:sz w:val="18"/>
              </w:rPr>
              <w:t>Hypothese</w:t>
            </w:r>
          </w:p>
        </w:tc>
        <w:tc>
          <w:tcPr>
            <w:tcW w:type="dxa" w:w="2808"/>
            <w:shd w:fill="17365D"/>
            <w:vAlign w:val="center"/>
            <w:tcMar>
              <w:top w:w="85" w:type="dxa"/>
              <w:start w:w="100" w:type="dxa"/>
              <w:bottom w:w="85" w:type="dxa"/>
              <w:end w:w="100" w:type="dxa"/>
            </w:tcMar>
          </w:tcPr>
          <w:p>
            <w:pPr>
              <w:spacing w:after="0" w:line="240" w:lineRule="auto"/>
            </w:pPr>
            <w:r>
              <w:rPr>
                <w:rFonts w:ascii="Aptos" w:hAnsi="Aptos"/>
                <w:b/>
                <w:color w:val="FFFFFF"/>
                <w:sz w:val="18"/>
              </w:rPr>
            </w:r>
            <w:r>
              <w:rPr>
                <w:rFonts w:ascii="Aptos" w:hAnsi="Aptos"/>
                <w:b/>
                <w:i w:val="0"/>
                <w:color w:val="FFFFFF"/>
                <w:sz w:val="18"/>
              </w:rPr>
              <w:t>Wat zou haar ondersteunen?</w:t>
            </w:r>
          </w:p>
        </w:tc>
        <w:tc>
          <w:tcPr>
            <w:tcW w:type="dxa" w:w="2808"/>
            <w:shd w:fill="17365D"/>
            <w:vAlign w:val="center"/>
            <w:tcMar>
              <w:top w:w="85" w:type="dxa"/>
              <w:start w:w="100" w:type="dxa"/>
              <w:bottom w:w="85" w:type="dxa"/>
              <w:end w:w="100" w:type="dxa"/>
            </w:tcMar>
          </w:tcPr>
          <w:p>
            <w:pPr>
              <w:spacing w:after="0" w:line="240" w:lineRule="auto"/>
            </w:pPr>
            <w:r>
              <w:rPr>
                <w:rFonts w:ascii="Aptos" w:hAnsi="Aptos"/>
                <w:b/>
                <w:color w:val="FFFFFF"/>
                <w:sz w:val="18"/>
              </w:rPr>
            </w:r>
            <w:r>
              <w:rPr>
                <w:rFonts w:ascii="Aptos" w:hAnsi="Aptos"/>
                <w:b/>
                <w:i w:val="0"/>
                <w:color w:val="FFFFFF"/>
                <w:sz w:val="18"/>
              </w:rPr>
              <w:t>Wat zou haar ontkrachten?</w:t>
            </w:r>
          </w:p>
        </w:tc>
      </w:tr>
      <w:tr>
        <w:trPr>
          <w:cantSplit/>
        </w:trPr>
        <w:tc>
          <w:tcPr>
            <w:tcW w:type="dxa" w:w="864"/>
            <w:vAlign w:val="center"/>
            <w:tcMar>
              <w:top w:w="85" w:type="dxa"/>
              <w:start w:w="100" w:type="dxa"/>
              <w:bottom w:w="85" w:type="dxa"/>
              <w:end w:w="100" w:type="dxa"/>
            </w:tcMar>
          </w:tcPr>
          <w:p>
            <w:pPr>
              <w:spacing w:after="0" w:line="240" w:lineRule="auto"/>
            </w:pPr>
            <w:r>
              <w:rPr>
                <w:rFonts w:ascii="Aptos" w:hAnsi="Aptos"/>
                <w:b w:val="0"/>
                <w:color w:val="222222"/>
                <w:sz w:val="18"/>
              </w:rPr>
            </w:r>
            <w:r>
              <w:rPr>
                <w:rFonts w:ascii="Aptos" w:hAnsi="Aptos"/>
                <w:b w:val="0"/>
                <w:i w:val="0"/>
                <w:color w:val="222222"/>
                <w:sz w:val="18"/>
              </w:rPr>
              <w:t>H1</w:t>
            </w:r>
          </w:p>
        </w:tc>
        <w:tc>
          <w:tcPr>
            <w:tcW w:type="dxa" w:w="3168"/>
            <w:vAlign w:val="center"/>
            <w:tcMar>
              <w:top w:w="85" w:type="dxa"/>
              <w:start w:w="100" w:type="dxa"/>
              <w:bottom w:w="85" w:type="dxa"/>
              <w:end w:w="100" w:type="dxa"/>
            </w:tcMar>
          </w:tcPr>
          <w:p>
            <w:pPr>
              <w:spacing w:after="0" w:line="240" w:lineRule="auto"/>
            </w:pPr>
            <w:r>
              <w:rPr>
                <w:rFonts w:ascii="Aptos" w:hAnsi="Aptos"/>
                <w:b w:val="0"/>
                <w:color w:val="222222"/>
                <w:sz w:val="18"/>
              </w:rPr>
            </w:r>
            <w:r>
              <w:rPr>
                <w:rFonts w:ascii="Aptos" w:hAnsi="Aptos"/>
                <w:b w:val="0"/>
                <w:i w:val="0"/>
                <w:color w:val="222222"/>
                <w:sz w:val="18"/>
              </w:rPr>
              <w:t>Institutionele afhankelijkheid vergroot het risico op onontdekt machtsmisbruik.</w:t>
            </w:r>
          </w:p>
        </w:tc>
        <w:tc>
          <w:tcPr>
            <w:tcW w:type="dxa" w:w="2808"/>
            <w:vAlign w:val="center"/>
            <w:tcMar>
              <w:top w:w="85" w:type="dxa"/>
              <w:start w:w="100" w:type="dxa"/>
              <w:bottom w:w="85" w:type="dxa"/>
              <w:end w:w="100" w:type="dxa"/>
            </w:tcMar>
          </w:tcPr>
          <w:p>
            <w:pPr>
              <w:spacing w:after="0" w:line="240" w:lineRule="auto"/>
            </w:pPr>
            <w:r>
              <w:rPr>
                <w:rFonts w:ascii="Aptos" w:hAnsi="Aptos"/>
                <w:b w:val="0"/>
                <w:color w:val="222222"/>
                <w:sz w:val="18"/>
              </w:rPr>
            </w:r>
            <w:r>
              <w:rPr>
                <w:rFonts w:ascii="Aptos" w:hAnsi="Aptos"/>
                <w:b w:val="0"/>
                <w:i w:val="0"/>
                <w:color w:val="222222"/>
                <w:sz w:val="18"/>
              </w:rPr>
              <w:t>Jongere is voor communicatie, informatie, vervoer en klachttoegang afhankelijk van dezelfde instelling.</w:t>
            </w:r>
          </w:p>
        </w:tc>
        <w:tc>
          <w:tcPr>
            <w:tcW w:type="dxa" w:w="2808"/>
            <w:vAlign w:val="center"/>
            <w:tcMar>
              <w:top w:w="85" w:type="dxa"/>
              <w:start w:w="100" w:type="dxa"/>
              <w:bottom w:w="85" w:type="dxa"/>
              <w:end w:w="100" w:type="dxa"/>
            </w:tcMar>
          </w:tcPr>
          <w:p>
            <w:pPr>
              <w:spacing w:after="0" w:line="240" w:lineRule="auto"/>
            </w:pPr>
            <w:r>
              <w:rPr>
                <w:rFonts w:ascii="Aptos" w:hAnsi="Aptos"/>
                <w:b w:val="0"/>
                <w:color w:val="222222"/>
                <w:sz w:val="18"/>
              </w:rPr>
            </w:r>
            <w:r>
              <w:rPr>
                <w:rFonts w:ascii="Aptos" w:hAnsi="Aptos"/>
                <w:b w:val="0"/>
                <w:i w:val="0"/>
                <w:color w:val="222222"/>
                <w:sz w:val="18"/>
              </w:rPr>
              <w:t>Structureel onafhankelijke toegang zonder toestemming personeel.</w:t>
            </w:r>
          </w:p>
        </w:tc>
      </w:tr>
      <w:tr>
        <w:trPr>
          <w:cantSplit/>
        </w:trPr>
        <w:tc>
          <w:tcPr>
            <w:tcW w:type="dxa" w:w="864"/>
            <w:vAlign w:val="center"/>
            <w:tcMar>
              <w:top w:w="85" w:type="dxa"/>
              <w:start w:w="100" w:type="dxa"/>
              <w:bottom w:w="85" w:type="dxa"/>
              <w:end w:w="100" w:type="dxa"/>
            </w:tcMar>
          </w:tcPr>
          <w:p>
            <w:pPr>
              <w:spacing w:after="0" w:line="240" w:lineRule="auto"/>
            </w:pPr>
            <w:r>
              <w:rPr>
                <w:rFonts w:ascii="Aptos" w:hAnsi="Aptos"/>
                <w:b w:val="0"/>
                <w:color w:val="222222"/>
                <w:sz w:val="18"/>
              </w:rPr>
            </w:r>
            <w:r>
              <w:rPr>
                <w:rFonts w:ascii="Aptos" w:hAnsi="Aptos"/>
                <w:b w:val="0"/>
                <w:i w:val="0"/>
                <w:color w:val="222222"/>
                <w:sz w:val="18"/>
              </w:rPr>
              <w:t>H2</w:t>
            </w:r>
          </w:p>
        </w:tc>
        <w:tc>
          <w:tcPr>
            <w:tcW w:type="dxa" w:w="3168"/>
            <w:vAlign w:val="center"/>
            <w:tcMar>
              <w:top w:w="85" w:type="dxa"/>
              <w:start w:w="100" w:type="dxa"/>
              <w:bottom w:w="85" w:type="dxa"/>
              <w:end w:w="100" w:type="dxa"/>
            </w:tcMar>
          </w:tcPr>
          <w:p>
            <w:pPr>
              <w:spacing w:after="0" w:line="240" w:lineRule="auto"/>
            </w:pPr>
            <w:r>
              <w:rPr>
                <w:rFonts w:ascii="Aptos" w:hAnsi="Aptos"/>
                <w:b w:val="0"/>
                <w:color w:val="222222"/>
                <w:sz w:val="18"/>
              </w:rPr>
            </w:r>
            <w:r>
              <w:rPr>
                <w:rFonts w:ascii="Aptos" w:hAnsi="Aptos"/>
                <w:b w:val="0"/>
                <w:i w:val="0"/>
                <w:color w:val="222222"/>
                <w:sz w:val="18"/>
              </w:rPr>
              <w:t>“Kwetsbaarheid” kan veranderen van beschermingsgrond in grond voor autonomiebeperking.</w:t>
            </w:r>
          </w:p>
        </w:tc>
        <w:tc>
          <w:tcPr>
            <w:tcW w:type="dxa" w:w="2808"/>
            <w:vAlign w:val="center"/>
            <w:tcMar>
              <w:top w:w="85" w:type="dxa"/>
              <w:start w:w="100" w:type="dxa"/>
              <w:bottom w:w="85" w:type="dxa"/>
              <w:end w:w="100" w:type="dxa"/>
            </w:tcMar>
          </w:tcPr>
          <w:p>
            <w:pPr>
              <w:spacing w:after="0" w:line="240" w:lineRule="auto"/>
            </w:pPr>
            <w:r>
              <w:rPr>
                <w:rFonts w:ascii="Aptos" w:hAnsi="Aptos"/>
                <w:b w:val="0"/>
                <w:color w:val="222222"/>
                <w:sz w:val="18"/>
              </w:rPr>
            </w:r>
            <w:r>
              <w:rPr>
                <w:rFonts w:ascii="Aptos" w:hAnsi="Aptos"/>
                <w:b w:val="0"/>
                <w:i w:val="0"/>
                <w:color w:val="222222"/>
                <w:sz w:val="18"/>
              </w:rPr>
              <w:t>Keuzes worden generiek beperkt zonder individuele proportionaliteitstoets.</w:t>
            </w:r>
          </w:p>
        </w:tc>
        <w:tc>
          <w:tcPr>
            <w:tcW w:type="dxa" w:w="2808"/>
            <w:vAlign w:val="center"/>
            <w:tcMar>
              <w:top w:w="85" w:type="dxa"/>
              <w:start w:w="100" w:type="dxa"/>
              <w:bottom w:w="85" w:type="dxa"/>
              <w:end w:w="100" w:type="dxa"/>
            </w:tcMar>
          </w:tcPr>
          <w:p>
            <w:pPr>
              <w:spacing w:after="0" w:line="240" w:lineRule="auto"/>
            </w:pPr>
            <w:r>
              <w:rPr>
                <w:rFonts w:ascii="Aptos" w:hAnsi="Aptos"/>
                <w:b w:val="0"/>
                <w:color w:val="222222"/>
                <w:sz w:val="18"/>
              </w:rPr>
            </w:r>
            <w:r>
              <w:rPr>
                <w:rFonts w:ascii="Aptos" w:hAnsi="Aptos"/>
                <w:b w:val="0"/>
                <w:i w:val="0"/>
                <w:color w:val="222222"/>
                <w:sz w:val="18"/>
              </w:rPr>
              <w:t>Aantoonbare individuele afweging, minst ingrijpende interventie en periodieke uitbreiding autonomie.</w:t>
            </w:r>
          </w:p>
        </w:tc>
      </w:tr>
      <w:tr>
        <w:trPr>
          <w:cantSplit/>
        </w:trPr>
        <w:tc>
          <w:tcPr>
            <w:tcW w:type="dxa" w:w="864"/>
            <w:vAlign w:val="center"/>
            <w:tcMar>
              <w:top w:w="85" w:type="dxa"/>
              <w:start w:w="100" w:type="dxa"/>
              <w:bottom w:w="85" w:type="dxa"/>
              <w:end w:w="100" w:type="dxa"/>
            </w:tcMar>
          </w:tcPr>
          <w:p>
            <w:pPr>
              <w:spacing w:after="0" w:line="240" w:lineRule="auto"/>
            </w:pPr>
            <w:r>
              <w:rPr>
                <w:rFonts w:ascii="Aptos" w:hAnsi="Aptos"/>
                <w:b w:val="0"/>
                <w:color w:val="222222"/>
                <w:sz w:val="18"/>
              </w:rPr>
            </w:r>
            <w:r>
              <w:rPr>
                <w:rFonts w:ascii="Aptos" w:hAnsi="Aptos"/>
                <w:b w:val="0"/>
                <w:i w:val="0"/>
                <w:color w:val="222222"/>
                <w:sz w:val="18"/>
              </w:rPr>
              <w:t>H3</w:t>
            </w:r>
          </w:p>
        </w:tc>
        <w:tc>
          <w:tcPr>
            <w:tcW w:type="dxa" w:w="3168"/>
            <w:vAlign w:val="center"/>
            <w:tcMar>
              <w:top w:w="85" w:type="dxa"/>
              <w:start w:w="100" w:type="dxa"/>
              <w:bottom w:w="85" w:type="dxa"/>
              <w:end w:w="100" w:type="dxa"/>
            </w:tcMar>
          </w:tcPr>
          <w:p>
            <w:pPr>
              <w:spacing w:after="0" w:line="240" w:lineRule="auto"/>
            </w:pPr>
            <w:r>
              <w:rPr>
                <w:rFonts w:ascii="Aptos" w:hAnsi="Aptos"/>
                <w:b w:val="0"/>
                <w:color w:val="222222"/>
                <w:sz w:val="18"/>
              </w:rPr>
            </w:r>
            <w:r>
              <w:rPr>
                <w:rFonts w:ascii="Aptos" w:hAnsi="Aptos"/>
                <w:b w:val="0"/>
                <w:i w:val="0"/>
                <w:color w:val="222222"/>
                <w:sz w:val="18"/>
              </w:rPr>
              <w:t>Open residentiële jeugdhulp kan een rechtsbeschermingsparadox bevatten.</w:t>
            </w:r>
          </w:p>
        </w:tc>
        <w:tc>
          <w:tcPr>
            <w:tcW w:type="dxa" w:w="2808"/>
            <w:vAlign w:val="center"/>
            <w:tcMar>
              <w:top w:w="85" w:type="dxa"/>
              <w:start w:w="100" w:type="dxa"/>
              <w:bottom w:w="85" w:type="dxa"/>
              <w:end w:w="100" w:type="dxa"/>
            </w:tcMar>
          </w:tcPr>
          <w:p>
            <w:pPr>
              <w:spacing w:after="0" w:line="240" w:lineRule="auto"/>
            </w:pPr>
            <w:r>
              <w:rPr>
                <w:rFonts w:ascii="Aptos" w:hAnsi="Aptos"/>
                <w:b w:val="0"/>
                <w:color w:val="222222"/>
                <w:sz w:val="18"/>
              </w:rPr>
            </w:r>
            <w:r>
              <w:rPr>
                <w:rFonts w:ascii="Aptos" w:hAnsi="Aptos"/>
                <w:b w:val="0"/>
                <w:i w:val="0"/>
                <w:color w:val="222222"/>
                <w:sz w:val="18"/>
              </w:rPr>
              <w:t>Feitelijke vrijheidsbeperking zonder het formele gesloten rechtskader.</w:t>
            </w:r>
          </w:p>
        </w:tc>
        <w:tc>
          <w:tcPr>
            <w:tcW w:type="dxa" w:w="2808"/>
            <w:vAlign w:val="center"/>
            <w:tcMar>
              <w:top w:w="85" w:type="dxa"/>
              <w:start w:w="100" w:type="dxa"/>
              <w:bottom w:w="85" w:type="dxa"/>
              <w:end w:w="100" w:type="dxa"/>
            </w:tcMar>
          </w:tcPr>
          <w:p>
            <w:pPr>
              <w:spacing w:after="0" w:line="240" w:lineRule="auto"/>
            </w:pPr>
            <w:r>
              <w:rPr>
                <w:rFonts w:ascii="Aptos" w:hAnsi="Aptos"/>
                <w:b w:val="0"/>
                <w:color w:val="222222"/>
                <w:sz w:val="18"/>
              </w:rPr>
            </w:r>
            <w:r>
              <w:rPr>
                <w:rFonts w:ascii="Aptos" w:hAnsi="Aptos"/>
                <w:b w:val="0"/>
                <w:i w:val="0"/>
                <w:color w:val="222222"/>
                <w:sz w:val="18"/>
              </w:rPr>
              <w:t>Geen vrijheidsbeperking buiten specifieke wettelijke grondslag.</w:t>
            </w:r>
          </w:p>
        </w:tc>
      </w:tr>
      <w:tr>
        <w:trPr>
          <w:cantSplit/>
        </w:trPr>
        <w:tc>
          <w:tcPr>
            <w:tcW w:type="dxa" w:w="864"/>
            <w:vAlign w:val="center"/>
            <w:tcMar>
              <w:top w:w="85" w:type="dxa"/>
              <w:start w:w="100" w:type="dxa"/>
              <w:bottom w:w="85" w:type="dxa"/>
              <w:end w:w="100" w:type="dxa"/>
            </w:tcMar>
          </w:tcPr>
          <w:p>
            <w:pPr>
              <w:spacing w:after="0" w:line="240" w:lineRule="auto"/>
            </w:pPr>
            <w:r>
              <w:rPr>
                <w:rFonts w:ascii="Aptos" w:hAnsi="Aptos"/>
                <w:b w:val="0"/>
                <w:color w:val="222222"/>
                <w:sz w:val="18"/>
              </w:rPr>
            </w:r>
            <w:r>
              <w:rPr>
                <w:rFonts w:ascii="Aptos" w:hAnsi="Aptos"/>
                <w:b w:val="0"/>
                <w:i w:val="0"/>
                <w:color w:val="222222"/>
                <w:sz w:val="18"/>
              </w:rPr>
              <w:t>H4</w:t>
            </w:r>
          </w:p>
        </w:tc>
        <w:tc>
          <w:tcPr>
            <w:tcW w:type="dxa" w:w="3168"/>
            <w:vAlign w:val="center"/>
            <w:tcMar>
              <w:top w:w="85" w:type="dxa"/>
              <w:start w:w="100" w:type="dxa"/>
              <w:bottom w:w="85" w:type="dxa"/>
              <w:end w:w="100" w:type="dxa"/>
            </w:tcMar>
          </w:tcPr>
          <w:p>
            <w:pPr>
              <w:spacing w:after="0" w:line="240" w:lineRule="auto"/>
            </w:pPr>
            <w:r>
              <w:rPr>
                <w:rFonts w:ascii="Aptos" w:hAnsi="Aptos"/>
                <w:b w:val="0"/>
                <w:color w:val="222222"/>
                <w:sz w:val="18"/>
              </w:rPr>
            </w:r>
            <w:r>
              <w:rPr>
                <w:rFonts w:ascii="Aptos" w:hAnsi="Aptos"/>
                <w:b w:val="0"/>
                <w:i w:val="0"/>
                <w:color w:val="222222"/>
                <w:sz w:val="18"/>
              </w:rPr>
              <w:t>Formele rechten zijn onvoldoende wanneer jongeren ze niet kennen of niet durven gebruiken.</w:t>
            </w:r>
          </w:p>
        </w:tc>
        <w:tc>
          <w:tcPr>
            <w:tcW w:type="dxa" w:w="2808"/>
            <w:vAlign w:val="center"/>
            <w:tcMar>
              <w:top w:w="85" w:type="dxa"/>
              <w:start w:w="100" w:type="dxa"/>
              <w:bottom w:w="85" w:type="dxa"/>
              <w:end w:w="100" w:type="dxa"/>
            </w:tcMar>
          </w:tcPr>
          <w:p>
            <w:pPr>
              <w:spacing w:after="0" w:line="240" w:lineRule="auto"/>
            </w:pPr>
            <w:r>
              <w:rPr>
                <w:rFonts w:ascii="Aptos" w:hAnsi="Aptos"/>
                <w:b w:val="0"/>
                <w:color w:val="222222"/>
                <w:sz w:val="18"/>
              </w:rPr>
            </w:r>
            <w:r>
              <w:rPr>
                <w:rFonts w:ascii="Aptos" w:hAnsi="Aptos"/>
                <w:b w:val="0"/>
                <w:i w:val="0"/>
                <w:color w:val="222222"/>
                <w:sz w:val="18"/>
              </w:rPr>
              <w:t>Lage rechtskennis, angst voor gevolgen, afhankelijkheid personeel.</w:t>
            </w:r>
          </w:p>
        </w:tc>
        <w:tc>
          <w:tcPr>
            <w:tcW w:type="dxa" w:w="2808"/>
            <w:vAlign w:val="center"/>
            <w:tcMar>
              <w:top w:w="85" w:type="dxa"/>
              <w:start w:w="100" w:type="dxa"/>
              <w:bottom w:w="85" w:type="dxa"/>
              <w:end w:w="100" w:type="dxa"/>
            </w:tcMar>
          </w:tcPr>
          <w:p>
            <w:pPr>
              <w:spacing w:after="0" w:line="240" w:lineRule="auto"/>
            </w:pPr>
            <w:r>
              <w:rPr>
                <w:rFonts w:ascii="Aptos" w:hAnsi="Aptos"/>
                <w:b w:val="0"/>
                <w:color w:val="222222"/>
                <w:sz w:val="18"/>
              </w:rPr>
            </w:r>
            <w:r>
              <w:rPr>
                <w:rFonts w:ascii="Aptos" w:hAnsi="Aptos"/>
                <w:b w:val="0"/>
                <w:i w:val="0"/>
                <w:color w:val="222222"/>
                <w:sz w:val="18"/>
              </w:rPr>
              <w:t>Jongeren kunnen rechten noemen en gebruiken en ervaren aantoonbaar geen repercussies.</w:t>
            </w:r>
          </w:p>
        </w:tc>
      </w:tr>
      <w:tr>
        <w:trPr>
          <w:cantSplit/>
        </w:trPr>
        <w:tc>
          <w:tcPr>
            <w:tcW w:type="dxa" w:w="864"/>
            <w:vAlign w:val="center"/>
            <w:tcMar>
              <w:top w:w="85" w:type="dxa"/>
              <w:start w:w="100" w:type="dxa"/>
              <w:bottom w:w="85" w:type="dxa"/>
              <w:end w:w="100" w:type="dxa"/>
            </w:tcMar>
          </w:tcPr>
          <w:p>
            <w:pPr>
              <w:spacing w:after="0" w:line="240" w:lineRule="auto"/>
            </w:pPr>
            <w:r>
              <w:rPr>
                <w:rFonts w:ascii="Aptos" w:hAnsi="Aptos"/>
                <w:b w:val="0"/>
                <w:color w:val="222222"/>
                <w:sz w:val="18"/>
              </w:rPr>
            </w:r>
            <w:r>
              <w:rPr>
                <w:rFonts w:ascii="Aptos" w:hAnsi="Aptos"/>
                <w:b w:val="0"/>
                <w:i w:val="0"/>
                <w:color w:val="222222"/>
                <w:sz w:val="18"/>
              </w:rPr>
              <w:t>H5</w:t>
            </w:r>
          </w:p>
        </w:tc>
        <w:tc>
          <w:tcPr>
            <w:tcW w:type="dxa" w:w="3168"/>
            <w:vAlign w:val="center"/>
            <w:tcMar>
              <w:top w:w="85" w:type="dxa"/>
              <w:start w:w="100" w:type="dxa"/>
              <w:bottom w:w="85" w:type="dxa"/>
              <w:end w:w="100" w:type="dxa"/>
            </w:tcMar>
          </w:tcPr>
          <w:p>
            <w:pPr>
              <w:spacing w:after="0" w:line="240" w:lineRule="auto"/>
            </w:pPr>
            <w:r>
              <w:rPr>
                <w:rFonts w:ascii="Aptos" w:hAnsi="Aptos"/>
                <w:b w:val="0"/>
                <w:color w:val="222222"/>
                <w:sz w:val="18"/>
              </w:rPr>
            </w:r>
            <w:r>
              <w:rPr>
                <w:rFonts w:ascii="Aptos" w:hAnsi="Aptos"/>
                <w:b w:val="0"/>
                <w:i w:val="0"/>
                <w:color w:val="222222"/>
                <w:sz w:val="18"/>
              </w:rPr>
              <w:t>Tuchtrecht beschermt onvoldoende wanneer de jeugdige zelf nauwelijks toegang heeft.</w:t>
            </w:r>
          </w:p>
        </w:tc>
        <w:tc>
          <w:tcPr>
            <w:tcW w:type="dxa" w:w="2808"/>
            <w:vAlign w:val="center"/>
            <w:tcMar>
              <w:top w:w="85" w:type="dxa"/>
              <w:start w:w="100" w:type="dxa"/>
              <w:bottom w:w="85" w:type="dxa"/>
              <w:end w:w="100" w:type="dxa"/>
            </w:tcMar>
          </w:tcPr>
          <w:p>
            <w:pPr>
              <w:spacing w:after="0" w:line="240" w:lineRule="auto"/>
            </w:pPr>
            <w:r>
              <w:rPr>
                <w:rFonts w:ascii="Aptos" w:hAnsi="Aptos"/>
                <w:b w:val="0"/>
                <w:color w:val="222222"/>
                <w:sz w:val="18"/>
              </w:rPr>
            </w:r>
            <w:r>
              <w:rPr>
                <w:rFonts w:ascii="Aptos" w:hAnsi="Aptos"/>
                <w:b w:val="0"/>
                <w:i w:val="0"/>
                <w:color w:val="222222"/>
                <w:sz w:val="18"/>
              </w:rPr>
              <w:t>Zeer klein aandeel jeugdigen onder klagers of onbekende toegangscijfers.</w:t>
            </w:r>
          </w:p>
        </w:tc>
        <w:tc>
          <w:tcPr>
            <w:tcW w:type="dxa" w:w="2808"/>
            <w:vAlign w:val="center"/>
            <w:tcMar>
              <w:top w:w="85" w:type="dxa"/>
              <w:start w:w="100" w:type="dxa"/>
              <w:bottom w:w="85" w:type="dxa"/>
              <w:end w:w="100" w:type="dxa"/>
            </w:tcMar>
          </w:tcPr>
          <w:p>
            <w:pPr>
              <w:spacing w:after="0" w:line="240" w:lineRule="auto"/>
            </w:pPr>
            <w:r>
              <w:rPr>
                <w:rFonts w:ascii="Aptos" w:hAnsi="Aptos"/>
                <w:b w:val="0"/>
                <w:color w:val="222222"/>
                <w:sz w:val="18"/>
              </w:rPr>
            </w:r>
            <w:r>
              <w:rPr>
                <w:rFonts w:ascii="Aptos" w:hAnsi="Aptos"/>
                <w:b w:val="0"/>
                <w:i w:val="0"/>
                <w:color w:val="222222"/>
                <w:sz w:val="18"/>
              </w:rPr>
              <w:t>Hoge, aantoonbare zelfstandige toegang door jeugdigen met effectieve ondersteuning.</w:t>
            </w:r>
          </w:p>
        </w:tc>
      </w:tr>
      <w:tr>
        <w:trPr>
          <w:cantSplit/>
        </w:trPr>
        <w:tc>
          <w:tcPr>
            <w:tcW w:type="dxa" w:w="864"/>
            <w:vAlign w:val="center"/>
            <w:tcMar>
              <w:top w:w="85" w:type="dxa"/>
              <w:start w:w="100" w:type="dxa"/>
              <w:bottom w:w="85" w:type="dxa"/>
              <w:end w:w="100" w:type="dxa"/>
            </w:tcMar>
          </w:tcPr>
          <w:p>
            <w:pPr>
              <w:spacing w:after="0" w:line="240" w:lineRule="auto"/>
            </w:pPr>
            <w:r>
              <w:rPr>
                <w:rFonts w:ascii="Aptos" w:hAnsi="Aptos"/>
                <w:b w:val="0"/>
                <w:color w:val="222222"/>
                <w:sz w:val="18"/>
              </w:rPr>
            </w:r>
            <w:r>
              <w:rPr>
                <w:rFonts w:ascii="Aptos" w:hAnsi="Aptos"/>
                <w:b w:val="0"/>
                <w:i w:val="0"/>
                <w:color w:val="222222"/>
                <w:sz w:val="18"/>
              </w:rPr>
              <w:t>H6</w:t>
            </w:r>
          </w:p>
        </w:tc>
        <w:tc>
          <w:tcPr>
            <w:tcW w:type="dxa" w:w="3168"/>
            <w:vAlign w:val="center"/>
            <w:tcMar>
              <w:top w:w="85" w:type="dxa"/>
              <w:start w:w="100" w:type="dxa"/>
              <w:bottom w:w="85" w:type="dxa"/>
              <w:end w:w="100" w:type="dxa"/>
            </w:tcMar>
          </w:tcPr>
          <w:p>
            <w:pPr>
              <w:spacing w:after="0" w:line="240" w:lineRule="auto"/>
            </w:pPr>
            <w:r>
              <w:rPr>
                <w:rFonts w:ascii="Aptos" w:hAnsi="Aptos"/>
                <w:b w:val="0"/>
                <w:color w:val="222222"/>
                <w:sz w:val="18"/>
              </w:rPr>
            </w:r>
            <w:r>
              <w:rPr>
                <w:rFonts w:ascii="Aptos" w:hAnsi="Aptos"/>
                <w:b w:val="0"/>
                <w:i w:val="0"/>
                <w:color w:val="222222"/>
                <w:sz w:val="18"/>
              </w:rPr>
              <w:t>De overgang 17→18 vormt een verhoogd autonomierisico wanneer beschermingsmaatregelen worden voorbereid zonder aantoonbare vaardigheidsbeoordeling.</w:t>
            </w:r>
          </w:p>
        </w:tc>
        <w:tc>
          <w:tcPr>
            <w:tcW w:type="dxa" w:w="2808"/>
            <w:vAlign w:val="center"/>
            <w:tcMar>
              <w:top w:w="85" w:type="dxa"/>
              <w:start w:w="100" w:type="dxa"/>
              <w:bottom w:w="85" w:type="dxa"/>
              <w:end w:w="100" w:type="dxa"/>
            </w:tcMar>
          </w:tcPr>
          <w:p>
            <w:pPr>
              <w:spacing w:after="0" w:line="240" w:lineRule="auto"/>
            </w:pPr>
            <w:r>
              <w:rPr>
                <w:rFonts w:ascii="Aptos" w:hAnsi="Aptos"/>
                <w:b w:val="0"/>
                <w:color w:val="222222"/>
                <w:sz w:val="18"/>
              </w:rPr>
            </w:r>
            <w:r>
              <w:rPr>
                <w:rFonts w:ascii="Aptos" w:hAnsi="Aptos"/>
                <w:b w:val="0"/>
                <w:i w:val="0"/>
                <w:color w:val="222222"/>
                <w:sz w:val="18"/>
              </w:rPr>
              <w:t>Institutionele inschattingen vervangen onafhankelijke toetsing van mogelijkheden.</w:t>
            </w:r>
          </w:p>
        </w:tc>
        <w:tc>
          <w:tcPr>
            <w:tcW w:type="dxa" w:w="2808"/>
            <w:vAlign w:val="center"/>
            <w:tcMar>
              <w:top w:w="85" w:type="dxa"/>
              <w:start w:w="100" w:type="dxa"/>
              <w:bottom w:w="85" w:type="dxa"/>
              <w:end w:w="100" w:type="dxa"/>
            </w:tcMar>
          </w:tcPr>
          <w:p>
            <w:pPr>
              <w:spacing w:after="0" w:line="240" w:lineRule="auto"/>
            </w:pPr>
            <w:r>
              <w:rPr>
                <w:rFonts w:ascii="Aptos" w:hAnsi="Aptos"/>
                <w:b w:val="0"/>
                <w:color w:val="222222"/>
                <w:sz w:val="18"/>
              </w:rPr>
            </w:r>
            <w:r>
              <w:rPr>
                <w:rFonts w:ascii="Aptos" w:hAnsi="Aptos"/>
                <w:b w:val="0"/>
                <w:i w:val="0"/>
                <w:color w:val="222222"/>
                <w:sz w:val="18"/>
              </w:rPr>
              <w:t>Objectieve, actuele toetsing, hoor en wederhoor en voorkeur voor minst beperkende ondersteuning.</w:t>
            </w:r>
          </w:p>
        </w:tc>
      </w:tr>
    </w:tbl>
    <w:p>
      <w:pPr>
        <w:widowControl/>
        <w:spacing w:after="40"/>
      </w:pPr>
    </w:p>
    <w:p>
      <w:pPr>
        <w:widowControl/>
        <w:sectPr>
          <w:headerReference w:type="default" r:id="rId9"/>
          <w:footerReference w:type="default" r:id="rId10"/>
          <w:pgSz w:w="12240" w:h="15840"/>
          <w:pgMar w:top="1253" w:right="1411" w:bottom="1138" w:left="1411" w:header="720" w:footer="720" w:gutter="0"/>
          <w:cols w:space="720"/>
          <w:docGrid w:linePitch="360"/>
        </w:sectPr>
      </w:pPr>
    </w:p>
    <w:p>
      <w:pPr>
        <w:pStyle w:val="Heading1"/>
        <w:keepLines w:val="0"/>
        <w:widowControl/>
        <w:spacing w:after="120" w:line="259" w:lineRule="auto"/>
      </w:pPr>
      <w:r>
        <w:rPr>
          <w:rFonts w:ascii="Aptos" w:hAnsi="Aptos"/>
          <w:b/>
          <w:i w:val="0"/>
          <w:sz w:val="32"/>
        </w:rPr>
        <w:t>3. De onderzoeksmatrix</w:t>
      </w:r>
    </w:p>
    <w:tbl>
      <w:tblPr>
        <w:tblStyle w:val="TableGrid"/>
        <w:tblW w:type="auto" w:w="0"/>
        <w:tblLayout w:type="fixed"/>
        <w:tblLook w:firstColumn="1" w:firstRow="1" w:lastColumn="0" w:lastRow="0" w:noHBand="0" w:noVBand="1" w:val="04A0"/>
      </w:tblPr>
      <w:tblGrid>
        <w:gridCol w:w="2851"/>
        <w:gridCol w:w="2851"/>
        <w:gridCol w:w="2851"/>
        <w:gridCol w:w="2851"/>
        <w:gridCol w:w="2851"/>
      </w:tblGrid>
      <w:tr>
        <w:trPr>
          <w:cantSplit/>
          <w:tblHeader w:val="true"/>
        </w:trPr>
        <w:tc>
          <w:tcPr>
            <w:tcW w:type="dxa" w:w="2088"/>
            <w:shd w:fill="17365D"/>
            <w:vAlign w:val="center"/>
            <w:tcMar>
              <w:top w:w="55" w:type="dxa"/>
              <w:start w:w="85" w:type="dxa"/>
              <w:bottom w:w="55" w:type="dxa"/>
              <w:end w:w="85" w:type="dxa"/>
            </w:tcMar>
          </w:tcPr>
          <w:p>
            <w:pPr>
              <w:spacing w:after="0" w:line="240" w:lineRule="auto"/>
            </w:pPr>
            <w:r>
              <w:rPr>
                <w:rFonts w:ascii="Aptos" w:hAnsi="Aptos"/>
                <w:b/>
                <w:color w:val="FFFFFF"/>
                <w:sz w:val="15"/>
              </w:rPr>
            </w:r>
            <w:r>
              <w:rPr>
                <w:rFonts w:ascii="Aptos" w:hAnsi="Aptos"/>
                <w:b/>
                <w:i w:val="0"/>
                <w:color w:val="FFFFFF"/>
                <w:sz w:val="15"/>
              </w:rPr>
              <w:t>Safeguarding-domein</w:t>
            </w:r>
          </w:p>
        </w:tc>
        <w:tc>
          <w:tcPr>
            <w:tcW w:type="dxa" w:w="3671"/>
            <w:shd w:fill="17365D"/>
            <w:vAlign w:val="center"/>
            <w:tcMar>
              <w:top w:w="55" w:type="dxa"/>
              <w:start w:w="85" w:type="dxa"/>
              <w:bottom w:w="55" w:type="dxa"/>
              <w:end w:w="85" w:type="dxa"/>
            </w:tcMar>
          </w:tcPr>
          <w:p>
            <w:pPr>
              <w:spacing w:after="0" w:line="240" w:lineRule="auto"/>
            </w:pPr>
            <w:r>
              <w:rPr>
                <w:rFonts w:ascii="Aptos" w:hAnsi="Aptos"/>
                <w:b/>
                <w:color w:val="FFFFFF"/>
                <w:sz w:val="15"/>
              </w:rPr>
            </w:r>
            <w:r>
              <w:rPr>
                <w:rFonts w:ascii="Aptos" w:hAnsi="Aptos"/>
                <w:b/>
                <w:i w:val="0"/>
                <w:color w:val="FFFFFF"/>
                <w:sz w:val="15"/>
              </w:rPr>
              <w:t>Formele norm</w:t>
            </w:r>
          </w:p>
        </w:tc>
        <w:tc>
          <w:tcPr>
            <w:tcW w:type="dxa" w:w="3671"/>
            <w:shd w:fill="17365D"/>
            <w:vAlign w:val="center"/>
            <w:tcMar>
              <w:top w:w="55" w:type="dxa"/>
              <w:start w:w="85" w:type="dxa"/>
              <w:bottom w:w="55" w:type="dxa"/>
              <w:end w:w="85" w:type="dxa"/>
            </w:tcMar>
          </w:tcPr>
          <w:p>
            <w:pPr>
              <w:spacing w:after="0" w:line="240" w:lineRule="auto"/>
            </w:pPr>
            <w:r>
              <w:rPr>
                <w:rFonts w:ascii="Aptos" w:hAnsi="Aptos"/>
                <w:b/>
                <w:color w:val="FFFFFF"/>
                <w:sz w:val="15"/>
              </w:rPr>
            </w:r>
            <w:r>
              <w:rPr>
                <w:rFonts w:ascii="Aptos" w:hAnsi="Aptos"/>
                <w:b/>
                <w:i w:val="0"/>
                <w:color w:val="FFFFFF"/>
                <w:sz w:val="15"/>
              </w:rPr>
              <w:t>Wat weten we feitelijk?</w:t>
            </w:r>
          </w:p>
        </w:tc>
        <w:tc>
          <w:tcPr>
            <w:tcW w:type="dxa" w:w="3240"/>
            <w:shd w:fill="17365D"/>
            <w:vAlign w:val="center"/>
            <w:tcMar>
              <w:top w:w="55" w:type="dxa"/>
              <w:start w:w="85" w:type="dxa"/>
              <w:bottom w:w="55" w:type="dxa"/>
              <w:end w:w="85" w:type="dxa"/>
            </w:tcMar>
          </w:tcPr>
          <w:p>
            <w:pPr>
              <w:spacing w:after="0" w:line="240" w:lineRule="auto"/>
            </w:pPr>
            <w:r>
              <w:rPr>
                <w:rFonts w:ascii="Aptos" w:hAnsi="Aptos"/>
                <w:b/>
                <w:color w:val="FFFFFF"/>
                <w:sz w:val="15"/>
              </w:rPr>
            </w:r>
            <w:r>
              <w:rPr>
                <w:rFonts w:ascii="Aptos" w:hAnsi="Aptos"/>
                <w:b/>
                <w:i w:val="0"/>
                <w:color w:val="FFFFFF"/>
                <w:sz w:val="15"/>
              </w:rPr>
              <w:t>Risico voor kwaadwillende professional</w:t>
            </w:r>
          </w:p>
        </w:tc>
        <w:tc>
          <w:tcPr>
            <w:tcW w:type="dxa" w:w="2376"/>
            <w:shd w:fill="17365D"/>
            <w:vAlign w:val="center"/>
            <w:tcMar>
              <w:top w:w="55" w:type="dxa"/>
              <w:start w:w="85" w:type="dxa"/>
              <w:bottom w:w="55" w:type="dxa"/>
              <w:end w:w="85" w:type="dxa"/>
            </w:tcMar>
          </w:tcPr>
          <w:p>
            <w:pPr>
              <w:spacing w:after="0" w:line="240" w:lineRule="auto"/>
            </w:pPr>
            <w:r>
              <w:rPr>
                <w:rFonts w:ascii="Aptos" w:hAnsi="Aptos"/>
                <w:b/>
                <w:color w:val="FFFFFF"/>
                <w:sz w:val="15"/>
              </w:rPr>
            </w:r>
            <w:r>
              <w:rPr>
                <w:rFonts w:ascii="Aptos" w:hAnsi="Aptos"/>
                <w:b/>
                <w:i w:val="0"/>
                <w:color w:val="FFFFFF"/>
                <w:sz w:val="15"/>
              </w:rPr>
              <w:t>Te meten indicator</w:t>
            </w:r>
          </w:p>
        </w:tc>
      </w:tr>
      <w:tr>
        <w:trPr/>
        <w:tc>
          <w:tcPr>
            <w:tcW w:type="dxa" w:w="2088"/>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1. Kennis van eigen rechten</w:t>
            </w:r>
          </w:p>
        </w:tc>
        <w:tc>
          <w:tcPr>
            <w:tcW w:type="dxa" w:w="3671"/>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Betekenisvolle participatie vereist begrijpelijke informatie; professionele richtlijnen noemen informatie, gehoord worden, serieus nemen, terugkoppeling en klachtrecht als vijf noodzakelijke stappen. (</w:t>
            </w:r>
            <w:hyperlink r:id="rId12">
              <w:r>
                <w:rPr>
                  <w:rFonts w:ascii="Aptos" w:hAnsi="Aptos"/>
                  <w:color w:val="0563C1"/>
                  <w:sz w:val="15"/>
                  <w:szCs w:val="15"/>
                  <w:u w:val="single"/>
                </w:rPr>
                <w:t>richtlijnenjeugdhulp.nl</w:t>
              </w:r>
            </w:hyperlink>
            <w:r>
              <w:rPr>
                <w:rFonts w:ascii="Aptos" w:hAnsi="Aptos"/>
                <w:b w:val="0"/>
                <w:i w:val="0"/>
                <w:color w:val="222222"/>
                <w:sz w:val="15"/>
              </w:rPr>
              <w:t>)</w:t>
            </w:r>
          </w:p>
        </w:tc>
        <w:tc>
          <w:tcPr>
            <w:tcW w:type="dxa" w:w="3671"/>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IGJ constateert in 2026 dat jongeren niet altijd begrijpen wat er gebeurt of waarom beperkingen worden toegepast. (</w:t>
            </w:r>
            <w:hyperlink r:id="rId13">
              <w:r>
                <w:rPr>
                  <w:rFonts w:ascii="Aptos" w:hAnsi="Aptos"/>
                  <w:color w:val="0563C1"/>
                  <w:sz w:val="15"/>
                  <w:szCs w:val="15"/>
                  <w:u w:val="single"/>
                </w:rPr>
                <w:t>igj.nl</w:t>
              </w:r>
            </w:hyperlink>
            <w:r>
              <w:rPr>
                <w:rFonts w:ascii="Aptos" w:hAnsi="Aptos"/>
                <w:b w:val="0"/>
                <w:i w:val="0"/>
                <w:color w:val="222222"/>
                <w:sz w:val="15"/>
              </w:rPr>
              <w:t>)</w:t>
            </w:r>
          </w:p>
        </w:tc>
        <w:tc>
          <w:tcPr>
            <w:tcW w:type="dxa" w:w="3240"/>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Een kind dat zijn rechten niet kent, herkent ook een rechtsschending minder gemakkelijk.</w:t>
            </w:r>
          </w:p>
        </w:tc>
        <w:tc>
          <w:tcPr>
            <w:tcW w:type="dxa" w:w="2376"/>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 jongeren dat spontaan advocaat, rechter, Jeugdstem, klachtencommissie, SKJ en IGJ kan benoemen.</w:t>
            </w:r>
          </w:p>
        </w:tc>
      </w:tr>
      <w:tr>
        <w:trPr/>
        <w:tc>
          <w:tcPr>
            <w:tcW w:type="dxa" w:w="2088"/>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2. Zelfstandig spreken buiten instelling</w:t>
            </w:r>
          </w:p>
        </w:tc>
        <w:tc>
          <w:tcPr>
            <w:tcW w:type="dxa" w:w="3671"/>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Participatie vereist mogelijkheid om vrijuit de eigen visie te geven. Richtlijn: professionals moeten zelf met het kind spreken, bij &gt;8 bij voorkeur zonder ouders. (</w:t>
            </w:r>
            <w:hyperlink r:id="rId14">
              <w:r>
                <w:rPr>
                  <w:rFonts w:ascii="Aptos" w:hAnsi="Aptos"/>
                  <w:color w:val="0563C1"/>
                  <w:sz w:val="15"/>
                  <w:szCs w:val="15"/>
                  <w:u w:val="single"/>
                </w:rPr>
                <w:t>richtlijnenjeugdhulp.nl</w:t>
              </w:r>
            </w:hyperlink>
            <w:r>
              <w:rPr>
                <w:rFonts w:ascii="Aptos" w:hAnsi="Aptos"/>
                <w:b w:val="0"/>
                <w:i w:val="0"/>
                <w:color w:val="222222"/>
                <w:sz w:val="15"/>
              </w:rPr>
              <w:t>)</w:t>
            </w:r>
          </w:p>
        </w:tc>
        <w:tc>
          <w:tcPr>
            <w:tcW w:type="dxa" w:w="3671"/>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Kinderombudsman: residentieel verblijvende jongeren voelen zich vaak onvoldoende vrij om problemen te melden en zijn bang voor gevolgen. (</w:t>
            </w:r>
            <w:hyperlink r:id="rId15">
              <w:r>
                <w:rPr>
                  <w:rFonts w:ascii="Aptos" w:hAnsi="Aptos"/>
                  <w:color w:val="0563C1"/>
                  <w:sz w:val="15"/>
                  <w:szCs w:val="15"/>
                  <w:u w:val="single"/>
                </w:rPr>
                <w:t>kinderombudsman.nl</w:t>
              </w:r>
            </w:hyperlink>
            <w:r>
              <w:rPr>
                <w:rFonts w:ascii="Aptos" w:hAnsi="Aptos"/>
                <w:b w:val="0"/>
                <w:i w:val="0"/>
                <w:color w:val="222222"/>
                <w:sz w:val="15"/>
              </w:rPr>
              <w:t>)</w:t>
            </w:r>
          </w:p>
        </w:tc>
        <w:tc>
          <w:tcPr>
            <w:tcW w:type="dxa" w:w="3240"/>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Controle over wie een kind spreekt is een klassieke opportunity factor voor misbruik.</w:t>
            </w:r>
          </w:p>
        </w:tc>
        <w:tc>
          <w:tcPr>
            <w:tcW w:type="dxa" w:w="2376"/>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Kan jongere zonder medewerker binnen gehoorsafstand vertrouwelijk spreken?</w:t>
            </w:r>
          </w:p>
        </w:tc>
      </w:tr>
      <w:tr>
        <w:trPr/>
        <w:tc>
          <w:tcPr>
            <w:tcW w:type="dxa" w:w="2088"/>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3. Telefoon/internet</w:t>
            </w:r>
          </w:p>
        </w:tc>
        <w:tc>
          <w:tcPr>
            <w:tcW w:type="dxa" w:w="3671"/>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In gesloten jeugdhulp zijn beperkingen wettelijk gereguleerd; vertrouwelijk contact met rechtsbijstandverlener of vertrouwenspersoon moet beschermd blijven. (</w:t>
            </w:r>
            <w:hyperlink r:id="rId16">
              <w:r>
                <w:rPr>
                  <w:rFonts w:ascii="Aptos" w:hAnsi="Aptos"/>
                  <w:color w:val="0563C1"/>
                  <w:sz w:val="15"/>
                  <w:szCs w:val="15"/>
                  <w:u w:val="single"/>
                </w:rPr>
                <w:t>wetten.overheid.nl</w:t>
              </w:r>
            </w:hyperlink>
            <w:r>
              <w:rPr>
                <w:rFonts w:ascii="Aptos" w:hAnsi="Aptos"/>
                <w:b w:val="0"/>
                <w:i w:val="0"/>
                <w:color w:val="222222"/>
                <w:sz w:val="15"/>
              </w:rPr>
              <w:t>)</w:t>
            </w:r>
          </w:p>
        </w:tc>
        <w:tc>
          <w:tcPr>
            <w:tcW w:type="dxa" w:w="3671"/>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In open jeugdhulp vond IGJ bij 37 van 46 onderzochte aanbieders gedwongen zorg zonder wettelijke grondslag, waaronder beperking van communicatiemiddelen. (</w:t>
            </w:r>
            <w:hyperlink r:id="rId17">
              <w:r>
                <w:rPr>
                  <w:rFonts w:ascii="Aptos" w:hAnsi="Aptos"/>
                  <w:color w:val="0563C1"/>
                  <w:sz w:val="15"/>
                  <w:szCs w:val="15"/>
                  <w:u w:val="single"/>
                </w:rPr>
                <w:t>igj.nl</w:t>
              </w:r>
            </w:hyperlink>
            <w:r>
              <w:rPr>
                <w:rFonts w:ascii="Aptos" w:hAnsi="Aptos"/>
                <w:b w:val="0"/>
                <w:i w:val="0"/>
                <w:color w:val="222222"/>
                <w:sz w:val="15"/>
              </w:rPr>
              <w:t>)</w:t>
            </w:r>
          </w:p>
        </w:tc>
        <w:tc>
          <w:tcPr>
            <w:tcW w:type="dxa" w:w="3240"/>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Personeel kan externe signalering feitelijk controleren wanneer telefoon/toegang afhankelijk is van medewerkers.</w:t>
            </w:r>
          </w:p>
        </w:tc>
        <w:tc>
          <w:tcPr>
            <w:tcW w:type="dxa" w:w="2376"/>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24/7 eigen toegang; log van inname/blokkering; juridische grondslag per beperking.</w:t>
            </w:r>
          </w:p>
        </w:tc>
      </w:tr>
      <w:tr>
        <w:trPr/>
        <w:tc>
          <w:tcPr>
            <w:tcW w:type="dxa" w:w="2088"/>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4. Brief- en communicatiegeheim</w:t>
            </w:r>
          </w:p>
        </w:tc>
        <w:tc>
          <w:tcPr>
            <w:tcW w:type="dxa" w:w="3671"/>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In gesloten jeugdhulp is toezicht op communicatie gereguleerd en mag vertrouwelijk overleg met rechtsbijstand of vertrouwenspersoon niet bij derden bekend raken. (</w:t>
            </w:r>
            <w:hyperlink r:id="rId16">
              <w:r>
                <w:rPr>
                  <w:rFonts w:ascii="Aptos" w:hAnsi="Aptos"/>
                  <w:color w:val="0563C1"/>
                  <w:sz w:val="15"/>
                  <w:szCs w:val="15"/>
                  <w:u w:val="single"/>
                </w:rPr>
                <w:t>wetten.overheid.nl</w:t>
              </w:r>
            </w:hyperlink>
            <w:r>
              <w:rPr>
                <w:rFonts w:ascii="Aptos" w:hAnsi="Aptos"/>
                <w:b w:val="0"/>
                <w:i w:val="0"/>
                <w:color w:val="222222"/>
                <w:sz w:val="15"/>
              </w:rPr>
              <w:t>)</w:t>
            </w:r>
          </w:p>
        </w:tc>
        <w:tc>
          <w:tcPr>
            <w:tcW w:type="dxa" w:w="3671"/>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Nationale gegevens over feitelijke naleving van vertrouwelijke correspondentie in open residentiële zorg ontbreken in de geraadpleegde bronnen.</w:t>
            </w:r>
          </w:p>
        </w:tc>
        <w:tc>
          <w:tcPr>
            <w:tcW w:type="dxa" w:w="3240"/>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Post- of berichtencontrole kan bewijs en hulpvragen onderscheppen.</w:t>
            </w:r>
          </w:p>
        </w:tc>
        <w:tc>
          <w:tcPr>
            <w:tcW w:type="dxa" w:w="2376"/>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Kan kind ongecontroleerd brief/e-mail aan advocaat, rechtbank, IGJ en Jeugdstem versturen?</w:t>
            </w:r>
          </w:p>
        </w:tc>
      </w:tr>
      <w:tr>
        <w:trPr/>
        <w:tc>
          <w:tcPr>
            <w:tcW w:type="dxa" w:w="2088"/>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5. Toegang advocaat</w:t>
            </w:r>
          </w:p>
        </w:tc>
        <w:tc>
          <w:tcPr>
            <w:tcW w:type="dxa" w:w="3671"/>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Bij gesloten-jeugdhulpprocedures krijgt de minderjarige ambtshalve een jeugdrechtadvocaat. (</w:t>
            </w:r>
            <w:hyperlink r:id="rId18">
              <w:r>
                <w:rPr>
                  <w:rFonts w:ascii="Aptos" w:hAnsi="Aptos"/>
                  <w:color w:val="0563C1"/>
                  <w:sz w:val="15"/>
                  <w:szCs w:val="15"/>
                  <w:u w:val="single"/>
                </w:rPr>
                <w:t>rechtspraak.nl</w:t>
              </w:r>
            </w:hyperlink>
            <w:r>
              <w:rPr>
                <w:rFonts w:ascii="Aptos" w:hAnsi="Aptos"/>
                <w:b w:val="0"/>
                <w:i w:val="0"/>
                <w:color w:val="222222"/>
                <w:sz w:val="15"/>
              </w:rPr>
              <w:t>)</w:t>
            </w:r>
          </w:p>
        </w:tc>
        <w:tc>
          <w:tcPr>
            <w:tcW w:type="dxa" w:w="3671"/>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Buiten gesloten procedures bestaat geen vergelijkbaar universeel automatisch advocatenmechanisme. Wel bestaan informele rechtsingangen en bijzondere curator. (</w:t>
            </w:r>
            <w:hyperlink r:id="rId19">
              <w:r>
                <w:rPr>
                  <w:rFonts w:ascii="Aptos" w:hAnsi="Aptos"/>
                  <w:color w:val="0563C1"/>
                  <w:sz w:val="15"/>
                  <w:szCs w:val="15"/>
                  <w:u w:val="single"/>
                </w:rPr>
                <w:t>rechtspraak.nl</w:t>
              </w:r>
            </w:hyperlink>
            <w:r>
              <w:rPr>
                <w:rFonts w:ascii="Aptos" w:hAnsi="Aptos"/>
                <w:b w:val="0"/>
                <w:i w:val="0"/>
                <w:color w:val="222222"/>
                <w:sz w:val="15"/>
              </w:rPr>
              <w:t>)</w:t>
            </w:r>
          </w:p>
        </w:tc>
        <w:tc>
          <w:tcPr>
            <w:tcW w:type="dxa" w:w="3240"/>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Een open geplaatste jongere kan feitelijk sterk beperkt zijn maar zonder automatische eigen advocaat.</w:t>
            </w:r>
          </w:p>
        </w:tc>
        <w:tc>
          <w:tcPr>
            <w:tcW w:type="dxa" w:w="2376"/>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 open-residentiële 16/17-jarigen met zelfstandige mogelijkheid advocaat te consulteren.</w:t>
            </w:r>
          </w:p>
        </w:tc>
      </w:tr>
      <w:tr>
        <w:trPr/>
        <w:tc>
          <w:tcPr>
            <w:tcW w:type="dxa" w:w="2088"/>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6. Rechtstreeks naar rechter</w:t>
            </w:r>
          </w:p>
        </w:tc>
        <w:tc>
          <w:tcPr>
            <w:tcW w:type="dxa" w:w="3671"/>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Art. 1:377g BW geeft vanaf 12 jaar een informele rechtsingang voor onder meer omgang; een kind kan zelf om een bijzondere curator vragen. (</w:t>
            </w:r>
            <w:hyperlink r:id="rId20">
              <w:r>
                <w:rPr>
                  <w:rFonts w:ascii="Aptos" w:hAnsi="Aptos"/>
                  <w:color w:val="0563C1"/>
                  <w:sz w:val="15"/>
                  <w:szCs w:val="15"/>
                  <w:u w:val="single"/>
                </w:rPr>
                <w:t>wetten.overheid.nl</w:t>
              </w:r>
            </w:hyperlink>
            <w:r>
              <w:rPr>
                <w:rFonts w:ascii="Aptos" w:hAnsi="Aptos"/>
                <w:b w:val="0"/>
                <w:i w:val="0"/>
                <w:color w:val="222222"/>
                <w:sz w:val="15"/>
              </w:rPr>
              <w:t>)</w:t>
            </w:r>
          </w:p>
        </w:tc>
        <w:tc>
          <w:tcPr>
            <w:tcW w:type="dxa" w:w="3671"/>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De mogelijkheid bestaat juridisch, maar de effectiviteit is afhankelijk van kennis, praktische toegang en durven handelen.</w:t>
            </w:r>
          </w:p>
        </w:tc>
        <w:tc>
          <w:tcPr>
            <w:tcW w:type="dxa" w:w="3240"/>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Een recht dat een kind niet kent of niet kan uitvoeren biedt nauwelijks tegenmacht.</w:t>
            </w:r>
          </w:p>
        </w:tc>
        <w:tc>
          <w:tcPr>
            <w:tcW w:type="dxa" w:w="2376"/>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 residentiële jongeren dat weet dat zelf een brief aan een rechter mogelijk kan zijn.</w:t>
            </w:r>
          </w:p>
        </w:tc>
      </w:tr>
      <w:tr>
        <w:trPr/>
        <w:tc>
          <w:tcPr>
            <w:tcW w:type="dxa" w:w="2088"/>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7. Shared Decision Making / autonomie</w:t>
            </w:r>
          </w:p>
        </w:tc>
        <w:tc>
          <w:tcPr>
            <w:tcW w:type="dxa" w:w="3671"/>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Ook in gedwongen hulp moet zoveel mogelijk in dialoog worden beslist. Gedeelde besluitvorming bevordert volgens de richtlijn veiligheid, autonomie, eigenwaarde en ontwikkeling. (</w:t>
            </w:r>
            <w:hyperlink r:id="rId14">
              <w:r>
                <w:rPr>
                  <w:rFonts w:ascii="Aptos" w:hAnsi="Aptos"/>
                  <w:color w:val="0563C1"/>
                  <w:sz w:val="15"/>
                  <w:szCs w:val="15"/>
                  <w:u w:val="single"/>
                </w:rPr>
                <w:t>richtlijnenjeugdhulp.nl</w:t>
              </w:r>
            </w:hyperlink>
            <w:r>
              <w:rPr>
                <w:rFonts w:ascii="Aptos" w:hAnsi="Aptos"/>
                <w:b w:val="0"/>
                <w:i w:val="0"/>
                <w:color w:val="222222"/>
                <w:sz w:val="15"/>
              </w:rPr>
              <w:t>)</w:t>
            </w:r>
          </w:p>
        </w:tc>
        <w:tc>
          <w:tcPr>
            <w:tcW w:type="dxa" w:w="3671"/>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29 van 57 door IGJ gesproken jongeren in JeugdzorgPlus zei soms of nooit voldoende betrokken te worden; 30 van 57 ervoer geen verbetering door de hulp. (</w:t>
            </w:r>
            <w:hyperlink r:id="rId13">
              <w:r>
                <w:rPr>
                  <w:rFonts w:ascii="Aptos" w:hAnsi="Aptos"/>
                  <w:color w:val="0563C1"/>
                  <w:sz w:val="15"/>
                  <w:szCs w:val="15"/>
                  <w:u w:val="single"/>
                </w:rPr>
                <w:t>igj.nl</w:t>
              </w:r>
            </w:hyperlink>
            <w:r>
              <w:rPr>
                <w:rFonts w:ascii="Aptos" w:hAnsi="Aptos"/>
                <w:b w:val="0"/>
                <w:i w:val="0"/>
                <w:color w:val="222222"/>
                <w:sz w:val="15"/>
              </w:rPr>
              <w:t>)</w:t>
            </w:r>
          </w:p>
        </w:tc>
        <w:tc>
          <w:tcPr>
            <w:tcW w:type="dxa" w:w="3240"/>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Een controlerende medewerker kan “veiligheid” gebruiken om eigen beslissingsmacht te vergroten.</w:t>
            </w:r>
          </w:p>
        </w:tc>
        <w:tc>
          <w:tcPr>
            <w:tcW w:type="dxa" w:w="2376"/>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Elke beperking gekoppeld aan doel, alternatief, duur, evaluatie en mening jongere.</w:t>
            </w:r>
          </w:p>
        </w:tc>
      </w:tr>
      <w:tr>
        <w:trPr/>
        <w:tc>
          <w:tcPr>
            <w:tcW w:type="dxa" w:w="2088"/>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8. Klachtrecht</w:t>
            </w:r>
          </w:p>
        </w:tc>
        <w:tc>
          <w:tcPr>
            <w:tcW w:type="dxa" w:w="3671"/>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Jongeren hebben klachtrecht en kunnen zich laten ondersteunen.</w:t>
            </w:r>
          </w:p>
        </w:tc>
        <w:tc>
          <w:tcPr>
            <w:tcW w:type="dxa" w:w="3671"/>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Kinderombudsman 2026: jongeren durven vaak niet; angst voor gevolgen; procedures te formeel en langdurig. Structurele problemen bestaan volgens de Kinderombudsman tien jaar na eerder onderzoek nog steeds. (</w:t>
            </w:r>
            <w:hyperlink r:id="rId15">
              <w:r>
                <w:rPr>
                  <w:rFonts w:ascii="Aptos" w:hAnsi="Aptos"/>
                  <w:color w:val="0563C1"/>
                  <w:sz w:val="15"/>
                  <w:szCs w:val="15"/>
                  <w:u w:val="single"/>
                </w:rPr>
                <w:t>kinderombudsman.nl</w:t>
              </w:r>
            </w:hyperlink>
            <w:r>
              <w:rPr>
                <w:rFonts w:ascii="Aptos" w:hAnsi="Aptos"/>
                <w:b w:val="0"/>
                <w:i w:val="0"/>
                <w:color w:val="222222"/>
                <w:sz w:val="15"/>
              </w:rPr>
              <w:t>)</w:t>
            </w:r>
          </w:p>
        </w:tc>
        <w:tc>
          <w:tcPr>
            <w:tcW w:type="dxa" w:w="3240"/>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Als klagen gevolgen lijkt te hebben voor dagelijks wonen, ontstaat enorme remming.</w:t>
            </w:r>
          </w:p>
        </w:tc>
        <w:tc>
          <w:tcPr>
            <w:tcW w:type="dxa" w:w="2376"/>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Anonieme vraag: “Kun je over je begeleider klagen zonder bang te zijn?”</w:t>
            </w:r>
          </w:p>
        </w:tc>
      </w:tr>
      <w:tr>
        <w:trPr/>
        <w:tc>
          <w:tcPr>
            <w:tcW w:type="dxa" w:w="2088"/>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9. Jeugdstem</w:t>
            </w:r>
          </w:p>
        </w:tc>
        <w:tc>
          <w:tcPr>
            <w:tcW w:type="dxa" w:w="3671"/>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Jeugdstem moet onafhankelijk informatie, advies en uitleg over de rechtspositie bieden en bezoekt residentiële jongeren periodiek. (</w:t>
            </w:r>
            <w:hyperlink r:id="rId21">
              <w:r>
                <w:rPr>
                  <w:rFonts w:ascii="Aptos" w:hAnsi="Aptos"/>
                  <w:color w:val="0563C1"/>
                  <w:sz w:val="15"/>
                  <w:szCs w:val="15"/>
                  <w:u w:val="single"/>
                </w:rPr>
                <w:t>jeugdstem.nl</w:t>
              </w:r>
            </w:hyperlink>
            <w:r>
              <w:rPr>
                <w:rFonts w:ascii="Aptos" w:hAnsi="Aptos"/>
                <w:b w:val="0"/>
                <w:i w:val="0"/>
                <w:color w:val="222222"/>
                <w:sz w:val="15"/>
              </w:rPr>
              <w:t>)</w:t>
            </w:r>
          </w:p>
        </w:tc>
        <w:tc>
          <w:tcPr>
            <w:tcW w:type="dxa" w:w="3671"/>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IGJ hoorde in 2026 dat niet iedere jongere vertrouwen heeft in Jeugdstem; een jongere vreesde dat informatie toch bij de leiding terechtkomt. (</w:t>
            </w:r>
            <w:hyperlink r:id="rId13">
              <w:r>
                <w:rPr>
                  <w:rFonts w:ascii="Aptos" w:hAnsi="Aptos"/>
                  <w:color w:val="0563C1"/>
                  <w:sz w:val="15"/>
                  <w:szCs w:val="15"/>
                  <w:u w:val="single"/>
                </w:rPr>
                <w:t>igj.nl</w:t>
              </w:r>
            </w:hyperlink>
            <w:r>
              <w:rPr>
                <w:rFonts w:ascii="Aptos" w:hAnsi="Aptos"/>
                <w:b w:val="0"/>
                <w:i w:val="0"/>
                <w:color w:val="222222"/>
                <w:sz w:val="15"/>
              </w:rPr>
              <w:t>)</w:t>
            </w:r>
          </w:p>
        </w:tc>
        <w:tc>
          <w:tcPr>
            <w:tcW w:type="dxa" w:w="3240"/>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Een formeel aanwezige vertrouwenspersoon beschermt niet wanneer de jeugdige hem niet als onafhankelijk ervaart.</w:t>
            </w:r>
          </w:p>
        </w:tc>
        <w:tc>
          <w:tcPr>
            <w:tcW w:type="dxa" w:w="2376"/>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Vertrouwen, privacy, bekendheid rechten, frequentie individuele gesprekken en follow-up.</w:t>
            </w:r>
          </w:p>
        </w:tc>
      </w:tr>
      <w:tr>
        <w:trPr/>
        <w:tc>
          <w:tcPr>
            <w:tcW w:type="dxa" w:w="2088"/>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10. SKJ-tuchtrecht</w:t>
            </w:r>
          </w:p>
        </w:tc>
        <w:tc>
          <w:tcPr>
            <w:tcW w:type="dxa" w:w="3671"/>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De jeugdige zelf is volgens SKJ een belanghebbende die een klacht mag indienen. Jeugdstem kan daarbij gratis ondersteunen. (</w:t>
            </w:r>
            <w:hyperlink r:id="rId22">
              <w:r>
                <w:rPr>
                  <w:rFonts w:ascii="Aptos" w:hAnsi="Aptos"/>
                  <w:color w:val="0563C1"/>
                  <w:sz w:val="15"/>
                  <w:szCs w:val="15"/>
                  <w:u w:val="single"/>
                </w:rPr>
                <w:t>tuchtrecht.skjeugd.nl</w:t>
              </w:r>
            </w:hyperlink>
            <w:r>
              <w:rPr>
                <w:rFonts w:ascii="Aptos" w:hAnsi="Aptos"/>
                <w:b w:val="0"/>
                <w:i w:val="0"/>
                <w:color w:val="222222"/>
                <w:sz w:val="15"/>
              </w:rPr>
              <w:t>)</w:t>
            </w:r>
          </w:p>
        </w:tc>
        <w:tc>
          <w:tcPr>
            <w:tcW w:type="dxa" w:w="3671"/>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2024: 509 klachten, 91% door ouders/verzorgers. 2025: 669 klachten, ongeveer 90% door ouders/verzorgers. SKJ publiceert daarbij geen afzonderlijk aantal minderjarige klagers. (</w:t>
            </w:r>
            <w:hyperlink r:id="rId23">
              <w:r>
                <w:rPr>
                  <w:rFonts w:ascii="Aptos" w:hAnsi="Aptos"/>
                  <w:color w:val="0563C1"/>
                  <w:sz w:val="15"/>
                  <w:szCs w:val="15"/>
                  <w:u w:val="single"/>
                </w:rPr>
                <w:t>skjeugd.nl</w:t>
              </w:r>
            </w:hyperlink>
            <w:r>
              <w:rPr>
                <w:rFonts w:ascii="Aptos" w:hAnsi="Aptos"/>
                <w:b w:val="0"/>
                <w:i w:val="0"/>
                <w:color w:val="222222"/>
                <w:sz w:val="15"/>
              </w:rPr>
              <w:t>)</w:t>
            </w:r>
          </w:p>
        </w:tc>
        <w:tc>
          <w:tcPr>
            <w:tcW w:type="dxa" w:w="3240"/>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Mogelijke enorme kloof tussen formeel klachtrecht van het kind en feitelijk gebruik daarvan.</w:t>
            </w:r>
          </w:p>
        </w:tc>
        <w:tc>
          <w:tcPr>
            <w:tcW w:type="dxa" w:w="2376"/>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Cruciale ontbrekende variabele: aantal klachten rechtstreeks door jeugdigen, uitgesplitst naar leeftijd en verblijf.</w:t>
            </w:r>
          </w:p>
        </w:tc>
      </w:tr>
      <w:tr>
        <w:trPr/>
        <w:tc>
          <w:tcPr>
            <w:tcW w:type="dxa" w:w="2088"/>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11. Jeugdstem bij tuchtrecht</w:t>
            </w:r>
          </w:p>
        </w:tc>
        <w:tc>
          <w:tcPr>
            <w:tcW w:type="dxa" w:w="3671"/>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Jeugdstem beschikt over gespecialiseerde juridische ondersteuning voor tuchtrecht.</w:t>
            </w:r>
          </w:p>
        </w:tc>
        <w:tc>
          <w:tcPr>
            <w:tcW w:type="dxa" w:w="3671"/>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In 2024 hielp Jeugdstem 117 mensen in 165 tuchtrechttrajecten; ruim de helft betrof medewerkers van gecertificeerde instellingen. Jeugdstem signaleerde zelf tekortschietend hoor/wederhoor en rechtsbescherming binnen de Commissie van Consultatie-route. (</w:t>
            </w:r>
            <w:hyperlink r:id="rId24">
              <w:r>
                <w:rPr>
                  <w:rFonts w:ascii="Aptos" w:hAnsi="Aptos"/>
                  <w:color w:val="0563C1"/>
                  <w:sz w:val="15"/>
                  <w:szCs w:val="15"/>
                  <w:u w:val="single"/>
                </w:rPr>
                <w:t>jeugdstem.nl</w:t>
              </w:r>
            </w:hyperlink>
            <w:r>
              <w:rPr>
                <w:rFonts w:ascii="Aptos" w:hAnsi="Aptos"/>
                <w:b w:val="0"/>
                <w:i w:val="0"/>
                <w:color w:val="222222"/>
                <w:sz w:val="15"/>
              </w:rPr>
              <w:t>)</w:t>
            </w:r>
          </w:p>
        </w:tc>
        <w:tc>
          <w:tcPr>
            <w:tcW w:type="dxa" w:w="3240"/>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Zelfs de onafhankelijke ondersteuner signaleert zwaktes in het mechanisme dat professionals moet toetsen.</w:t>
            </w:r>
          </w:p>
        </w:tc>
        <w:tc>
          <w:tcPr>
            <w:tcW w:type="dxa" w:w="2376"/>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Hoeveel van die 117 cliënten waren zelf minderjarig? Hoeveel residentieel? Uitkomst per zaak?</w:t>
            </w:r>
          </w:p>
        </w:tc>
      </w:tr>
      <w:tr>
        <w:trPr/>
        <w:tc>
          <w:tcPr>
            <w:tcW w:type="dxa" w:w="2088"/>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12. Externe toezichthouder IGJ</w:t>
            </w:r>
          </w:p>
        </w:tc>
        <w:tc>
          <w:tcPr>
            <w:tcW w:type="dxa" w:w="3671"/>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IGJ controleert kwaliteit en veiligheid.</w:t>
            </w:r>
          </w:p>
        </w:tc>
        <w:tc>
          <w:tcPr>
            <w:tcW w:type="dxa" w:w="3671"/>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Jeugdstem registreerde in 2025 896 ernstige zorg-/onveiligheidssignalen en schakelde in 12 gevallen IGJ in nadat opvolging uitbleef. (</w:t>
            </w:r>
            <w:hyperlink r:id="rId25">
              <w:r>
                <w:rPr>
                  <w:rFonts w:ascii="Aptos" w:hAnsi="Aptos"/>
                  <w:color w:val="0563C1"/>
                  <w:sz w:val="15"/>
                  <w:szCs w:val="15"/>
                  <w:u w:val="single"/>
                </w:rPr>
                <w:t>jeugdstem.nl</w:t>
              </w:r>
            </w:hyperlink>
            <w:r>
              <w:rPr>
                <w:rFonts w:ascii="Aptos" w:hAnsi="Aptos"/>
                <w:b w:val="0"/>
                <w:i w:val="0"/>
                <w:color w:val="222222"/>
                <w:sz w:val="15"/>
              </w:rPr>
              <w:t>)</w:t>
            </w:r>
          </w:p>
        </w:tc>
        <w:tc>
          <w:tcPr>
            <w:tcW w:type="dxa" w:w="3240"/>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Extern toezicht beschermt pas als signalen daadwerkelijk de toezichthouder bereiken.</w:t>
            </w:r>
          </w:p>
        </w:tc>
        <w:tc>
          <w:tcPr>
            <w:tcW w:type="dxa" w:w="2376"/>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Tijd tussen signaal kind → Jeugdstem → aanbieder → IGJ → interventie.</w:t>
            </w:r>
          </w:p>
        </w:tc>
      </w:tr>
      <w:tr>
        <w:trPr/>
        <w:tc>
          <w:tcPr>
            <w:tcW w:type="dxa" w:w="2088"/>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13. Bescherming tegen geweld door professionals</w:t>
            </w:r>
          </w:p>
        </w:tc>
        <w:tc>
          <w:tcPr>
            <w:tcW w:type="dxa" w:w="3671"/>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Professionals moeten geweld melden; VOG is voor professionals in jeugdzorg verplicht. (</w:t>
            </w:r>
            <w:hyperlink r:id="rId26">
              <w:r>
                <w:rPr>
                  <w:rFonts w:ascii="Aptos" w:hAnsi="Aptos"/>
                  <w:color w:val="0563C1"/>
                  <w:sz w:val="15"/>
                  <w:szCs w:val="15"/>
                  <w:u w:val="single"/>
                </w:rPr>
                <w:t>rijksoverheid.nl</w:t>
              </w:r>
            </w:hyperlink>
            <w:r>
              <w:rPr>
                <w:rFonts w:ascii="Aptos" w:hAnsi="Aptos"/>
                <w:b w:val="0"/>
                <w:i w:val="0"/>
                <w:color w:val="222222"/>
                <w:sz w:val="15"/>
              </w:rPr>
              <w:t>)</w:t>
            </w:r>
          </w:p>
        </w:tc>
        <w:tc>
          <w:tcPr>
            <w:tcW w:type="dxa" w:w="3671"/>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De Winter concludeerde historisch dat kinderen geweld vaak niet konden of durfden melden en vrijwel nergens terechtkonden. De commissie adviseerde juist onafhankelijk toezicht en rechtstreekse gesprekken met jongeren. (</w:t>
            </w:r>
            <w:hyperlink r:id="rId27">
              <w:r>
                <w:rPr>
                  <w:rFonts w:ascii="Aptos" w:hAnsi="Aptos"/>
                  <w:color w:val="0563C1"/>
                  <w:sz w:val="15"/>
                  <w:szCs w:val="15"/>
                  <w:u w:val="single"/>
                </w:rPr>
                <w:t>rijksoverheid.nl</w:t>
              </w:r>
            </w:hyperlink>
            <w:r>
              <w:rPr>
                <w:rFonts w:ascii="Aptos" w:hAnsi="Aptos"/>
                <w:b w:val="0"/>
                <w:i w:val="0"/>
                <w:color w:val="222222"/>
                <w:sz w:val="15"/>
              </w:rPr>
              <w:t>)</w:t>
            </w:r>
          </w:p>
        </w:tc>
        <w:tc>
          <w:tcPr>
            <w:tcW w:type="dxa" w:w="3240"/>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Screening vooraf voorkomt niet dat een nog niet veroordeelde/manipulatieve professional toegang krijgt.</w:t>
            </w:r>
          </w:p>
        </w:tc>
        <w:tc>
          <w:tcPr>
            <w:tcW w:type="dxa" w:w="2376"/>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Naast VOG: meldhistorie, onafhankelijk toezicht, werk in duo’s, onverwachte inspecties, klachtenanalyse.</w:t>
            </w:r>
          </w:p>
        </w:tc>
      </w:tr>
      <w:tr>
        <w:trPr/>
        <w:tc>
          <w:tcPr>
            <w:tcW w:type="dxa" w:w="2088"/>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14. Institutionele signalering bij GI</w:t>
            </w:r>
          </w:p>
        </w:tc>
        <w:tc>
          <w:tcPr>
            <w:tcW w:type="dxa" w:w="3671"/>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GI moet jeugdige en ouders betrekken en zicht houden op ontwikkeling en veiligheid.</w:t>
            </w:r>
          </w:p>
        </w:tc>
        <w:tc>
          <w:tcPr>
            <w:tcW w:type="dxa" w:w="3671"/>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IGJ/Inspectie JenV beoordeelden WSS in 2025 grotendeels onvoldoende: onvoldoende betrokkenheid, onvoldoende zicht op ontwikkeling en veiligheid en te weinig regie. Tegelijk benadrukten zij betrokken medewerkers en grote externe systeemdruk. (</w:t>
            </w:r>
            <w:hyperlink r:id="rId28">
              <w:r>
                <w:rPr>
                  <w:rFonts w:ascii="Aptos" w:hAnsi="Aptos"/>
                  <w:color w:val="0563C1"/>
                  <w:sz w:val="15"/>
                  <w:szCs w:val="15"/>
                  <w:u w:val="single"/>
                </w:rPr>
                <w:t>igj.nl</w:t>
              </w:r>
            </w:hyperlink>
            <w:r>
              <w:rPr>
                <w:rFonts w:ascii="Aptos" w:hAnsi="Aptos"/>
                <w:b w:val="0"/>
                <w:i w:val="0"/>
                <w:color w:val="222222"/>
                <w:sz w:val="15"/>
              </w:rPr>
              <w:t>)</w:t>
            </w:r>
          </w:p>
        </w:tc>
        <w:tc>
          <w:tcPr>
            <w:tcW w:type="dxa" w:w="3240"/>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Wanneer de formele toezichthouder op de verblijfssituatie onvoldoende zicht heeft, neemt afhankelijkheid van interne rapportage toe.</w:t>
            </w:r>
          </w:p>
        </w:tc>
        <w:tc>
          <w:tcPr>
            <w:tcW w:type="dxa" w:w="2376"/>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Hoe vaak spreekt GI kind daadwerkelijk alleen? Hoe vaak wordt verblijf onverwacht bezocht?</w:t>
            </w:r>
          </w:p>
        </w:tc>
      </w:tr>
      <w:tr>
        <w:trPr/>
        <w:tc>
          <w:tcPr>
            <w:tcW w:type="dxa" w:w="2088"/>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15. Open versus gesloten rechtsbescherming</w:t>
            </w:r>
          </w:p>
        </w:tc>
        <w:tc>
          <w:tcPr>
            <w:tcW w:type="dxa" w:w="3671"/>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JeugdzorgPlus is volgens IGJ de enige jeugdhulpvorm waar de Jeugdwet zelf vrijheidsbeperkingen toestaat. (</w:t>
            </w:r>
            <w:hyperlink r:id="rId13">
              <w:r>
                <w:rPr>
                  <w:rFonts w:ascii="Aptos" w:hAnsi="Aptos"/>
                  <w:color w:val="0563C1"/>
                  <w:sz w:val="15"/>
                  <w:szCs w:val="15"/>
                  <w:u w:val="single"/>
                </w:rPr>
                <w:t>igj.nl</w:t>
              </w:r>
            </w:hyperlink>
            <w:r>
              <w:rPr>
                <w:rFonts w:ascii="Aptos" w:hAnsi="Aptos"/>
                <w:b w:val="0"/>
                <w:i w:val="0"/>
                <w:color w:val="222222"/>
                <w:sz w:val="15"/>
              </w:rPr>
              <w:t>)</w:t>
            </w:r>
          </w:p>
        </w:tc>
        <w:tc>
          <w:tcPr>
            <w:tcW w:type="dxa" w:w="3671"/>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Tegelijk constateerde IGJ vrijheidsbeperking zonder grondslag in open jeugdhulp. (</w:t>
            </w:r>
            <w:hyperlink r:id="rId17">
              <w:r>
                <w:rPr>
                  <w:rFonts w:ascii="Aptos" w:hAnsi="Aptos"/>
                  <w:color w:val="0563C1"/>
                  <w:sz w:val="15"/>
                  <w:szCs w:val="15"/>
                  <w:u w:val="single"/>
                </w:rPr>
                <w:t>igj.nl</w:t>
              </w:r>
            </w:hyperlink>
            <w:r>
              <w:rPr>
                <w:rFonts w:ascii="Aptos" w:hAnsi="Aptos"/>
                <w:b w:val="0"/>
                <w:i w:val="0"/>
                <w:color w:val="222222"/>
                <w:sz w:val="15"/>
              </w:rPr>
              <w:t>)</w:t>
            </w:r>
          </w:p>
        </w:tc>
        <w:tc>
          <w:tcPr>
            <w:tcW w:type="dxa" w:w="3240"/>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Kernparadox: feitelijke dwang zonder het sterkere formele rechtsbeschermingspakket.</w:t>
            </w:r>
          </w:p>
        </w:tc>
        <w:tc>
          <w:tcPr>
            <w:tcW w:type="dxa" w:w="2376"/>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Vergelijk open/gesloten per telefoon, advocaat, klachten, registratie beperking en rechterlijke toetsing.</w:t>
            </w:r>
          </w:p>
        </w:tc>
      </w:tr>
      <w:tr>
        <w:trPr/>
        <w:tc>
          <w:tcPr>
            <w:tcW w:type="dxa" w:w="2088"/>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16. Overgang 17→18</w:t>
            </w:r>
          </w:p>
        </w:tc>
        <w:tc>
          <w:tcPr>
            <w:tcW w:type="dxa" w:w="3671"/>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Voogdij eindigt als de jongere 18 wordt. Vanaf 18 is men in beginsel meerderjarig en handelingsbekwaam. (</w:t>
            </w:r>
            <w:hyperlink r:id="rId29">
              <w:r>
                <w:rPr>
                  <w:rFonts w:ascii="Aptos" w:hAnsi="Aptos"/>
                  <w:color w:val="0563C1"/>
                  <w:sz w:val="15"/>
                  <w:szCs w:val="15"/>
                  <w:u w:val="single"/>
                </w:rPr>
                <w:t>rijksoverheid.nl</w:t>
              </w:r>
            </w:hyperlink>
            <w:r>
              <w:rPr>
                <w:rFonts w:ascii="Aptos" w:hAnsi="Aptos"/>
                <w:b w:val="0"/>
                <w:i w:val="0"/>
                <w:color w:val="222222"/>
                <w:sz w:val="15"/>
              </w:rPr>
              <w:t>)</w:t>
            </w:r>
          </w:p>
        </w:tc>
        <w:tc>
          <w:tcPr>
            <w:tcW w:type="dxa" w:w="3671"/>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Er bestaat geen automatische voortzetting van de jeugdbeschermingsmacht na 18.</w:t>
            </w:r>
          </w:p>
        </w:tc>
        <w:tc>
          <w:tcPr>
            <w:tcW w:type="dxa" w:w="3240"/>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Institutionele cultuur kan toch verwachtingen van afhankelijkheid meenemen naar volwassenheid.</w:t>
            </w:r>
          </w:p>
        </w:tc>
        <w:tc>
          <w:tcPr>
            <w:tcW w:type="dxa" w:w="2376"/>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Voor iedere 17-jarige: concreet transitiedossier met wensen, vaardigheden, woonkeuze en rechtsvoorlichting.</w:t>
            </w:r>
          </w:p>
        </w:tc>
      </w:tr>
      <w:tr>
        <w:trPr/>
        <w:tc>
          <w:tcPr>
            <w:tcW w:type="dxa" w:w="2088"/>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17. Mentorschap/curatele</w:t>
            </w:r>
          </w:p>
        </w:tc>
        <w:tc>
          <w:tcPr>
            <w:tcW w:type="dxa" w:w="3671"/>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Alleen de rechter kan de maatregel instellen. Curatele is de zwaarste vorm en mag pas als lichtere bescherming onvoldoende is. Een mentor moet zelfstandig optreden juist bevorderen. (</w:t>
            </w:r>
            <w:hyperlink r:id="rId30">
              <w:r>
                <w:rPr>
                  <w:rFonts w:ascii="Aptos" w:hAnsi="Aptos"/>
                  <w:color w:val="0563C1"/>
                  <w:sz w:val="15"/>
                  <w:szCs w:val="15"/>
                  <w:u w:val="single"/>
                </w:rPr>
                <w:t>rijksoverheid.nl</w:t>
              </w:r>
            </w:hyperlink>
            <w:r>
              <w:rPr>
                <w:rFonts w:ascii="Aptos" w:hAnsi="Aptos"/>
                <w:b w:val="0"/>
                <w:i w:val="0"/>
                <w:color w:val="222222"/>
                <w:sz w:val="15"/>
              </w:rPr>
              <w:t>)</w:t>
            </w:r>
          </w:p>
        </w:tc>
        <w:tc>
          <w:tcPr>
            <w:tcW w:type="dxa" w:w="3671"/>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Voogd of zorginstelling kan een aanvraag initiëren, maar beslist niet zelf. (</w:t>
            </w:r>
            <w:hyperlink r:id="rId31">
              <w:r>
                <w:rPr>
                  <w:rFonts w:ascii="Aptos" w:hAnsi="Aptos"/>
                  <w:color w:val="0563C1"/>
                  <w:sz w:val="15"/>
                  <w:szCs w:val="15"/>
                  <w:u w:val="single"/>
                </w:rPr>
                <w:t>rechtspraak.nl</w:t>
              </w:r>
            </w:hyperlink>
            <w:r>
              <w:rPr>
                <w:rFonts w:ascii="Aptos" w:hAnsi="Aptos"/>
                <w:b w:val="0"/>
                <w:i w:val="0"/>
                <w:color w:val="222222"/>
                <w:sz w:val="15"/>
              </w:rPr>
              <w:t>)</w:t>
            </w:r>
          </w:p>
        </w:tc>
        <w:tc>
          <w:tcPr>
            <w:tcW w:type="dxa" w:w="3240"/>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Risico wanneer institutionele beoordelingen zonder actuele onafhankelijke capaciteitsanalyse leidend worden in een verzoek.</w:t>
            </w:r>
          </w:p>
        </w:tc>
        <w:tc>
          <w:tcPr>
            <w:tcW w:type="dxa" w:w="2376"/>
            <w:vAlign w:val="center"/>
            <w:tcMar>
              <w:top w:w="55" w:type="dxa"/>
              <w:start w:w="85" w:type="dxa"/>
              <w:bottom w:w="55" w:type="dxa"/>
              <w:end w:w="85" w:type="dxa"/>
            </w:tcMar>
          </w:tcPr>
          <w:p>
            <w:pPr>
              <w:spacing w:after="0" w:line="240" w:lineRule="auto"/>
            </w:pPr>
            <w:r>
              <w:rPr>
                <w:rFonts w:ascii="Aptos" w:hAnsi="Aptos"/>
                <w:b w:val="0"/>
                <w:color w:val="222222"/>
                <w:sz w:val="15"/>
              </w:rPr>
            </w:r>
            <w:r>
              <w:rPr>
                <w:rFonts w:ascii="Aptos" w:hAnsi="Aptos"/>
                <w:b w:val="0"/>
                <w:i w:val="0"/>
                <w:color w:val="222222"/>
                <w:sz w:val="15"/>
              </w:rPr>
              <w:t>Welke objectieve vaardigheden zijn getest? Wat kan betrokkene wél? Welke lichtere alternatieven zijn onderzocht?</w:t>
            </w:r>
          </w:p>
        </w:tc>
      </w:tr>
    </w:tbl>
    <w:p>
      <w:pPr>
        <w:widowControl/>
        <w:sectPr>
          <w:pgSz w:w="15840" w:h="12240" w:orient="landscape"/>
          <w:pgMar w:top="792" w:right="792" w:bottom="792" w:left="792" w:header="720" w:footer="720" w:gutter="0"/>
          <w:cols w:space="720"/>
          <w:docGrid w:linePitch="360"/>
        </w:sectPr>
      </w:pPr>
    </w:p>
    <w:p>
      <w:pPr>
        <w:pStyle w:val="Heading1"/>
        <w:keepLines w:val="0"/>
        <w:widowControl/>
        <w:spacing w:after="120" w:line="259" w:lineRule="auto"/>
      </w:pPr>
      <w:r>
        <w:rPr>
          <w:rFonts w:ascii="Aptos" w:hAnsi="Aptos"/>
          <w:b/>
          <w:i w:val="0"/>
          <w:sz w:val="32"/>
        </w:rPr>
        <w:t>4. Het belangrijkste voorlopige resultaat</w:t>
      </w:r>
    </w:p>
    <w:p>
      <w:pPr>
        <w:keepLines w:val="0"/>
        <w:widowControl/>
        <w:spacing w:after="160" w:line="259" w:lineRule="auto"/>
      </w:pPr>
      <w:r>
        <w:rPr>
          <w:rFonts w:ascii="Aptos" w:hAnsi="Aptos"/>
          <w:b w:val="0"/>
          <w:i w:val="0"/>
          <w:sz w:val="21"/>
        </w:rPr>
        <w:t>Er bestaat nu voldoende officiële onderbouwing voor vier feitelijke constateringen.</w:t>
      </w:r>
    </w:p>
    <w:p>
      <w:pPr>
        <w:pStyle w:val="Heading2"/>
        <w:keepLines w:val="0"/>
        <w:widowControl/>
        <w:spacing w:after="120" w:line="259" w:lineRule="auto"/>
      </w:pPr>
      <w:r>
        <w:rPr>
          <w:rFonts w:ascii="Aptos" w:hAnsi="Aptos"/>
          <w:b/>
          <w:i w:val="0"/>
          <w:sz w:val="26"/>
        </w:rPr>
        <w:t>A. Er bestaat daadwerkelijk vrijheidsbeperking buiten het daarvoor bedoelde jeugdrechtskader</w:t>
      </w:r>
    </w:p>
    <w:p>
      <w:pPr>
        <w:keepLines w:val="0"/>
        <w:widowControl/>
        <w:spacing w:after="120" w:line="259" w:lineRule="auto"/>
      </w:pPr>
      <w:r>
        <w:rPr>
          <w:rFonts w:ascii="Aptos" w:hAnsi="Aptos"/>
          <w:b w:val="0"/>
          <w:i w:val="0"/>
          <w:sz w:val="21"/>
        </w:rPr>
        <w:t>Dat is geen hypothese meer. De IGJ vond bij 37 van 46 onderzochte open-jeugdhulpaanbieders gedwongen zorg zonder Wzd-, Wvggz- of gesloten-jeugdhulpgrondslag. Daaronder vielen precies mechanismen die safeguarding kunnen verzwakken: communicatie beperken, insluiting, cameratoezicht en slaapkamerdoorzoekingen. (</w:t>
      </w:r>
      <w:hyperlink r:id="rId17">
        <w:r>
          <w:rPr>
            <w:rFonts w:ascii="Aptos" w:hAnsi="Aptos"/>
            <w:color w:val="0563C1"/>
            <w:sz w:val="21"/>
            <w:szCs w:val="21"/>
            <w:u w:val="single"/>
          </w:rPr>
          <w:t>igj.nl</w:t>
        </w:r>
      </w:hyperlink>
      <w:r>
        <w:rPr>
          <w:rFonts w:ascii="Aptos" w:hAnsi="Aptos"/>
          <w:b w:val="0"/>
          <w:i w:val="0"/>
          <w:sz w:val="21"/>
        </w:rPr>
        <w:t>)</w:t>
      </w:r>
    </w:p>
    <w:p>
      <w:pPr>
        <w:pStyle w:val="Heading2"/>
        <w:keepLines w:val="0"/>
        <w:widowControl/>
        <w:spacing w:after="120" w:line="259" w:lineRule="auto"/>
      </w:pPr>
      <w:r>
        <w:rPr>
          <w:rFonts w:ascii="Aptos" w:hAnsi="Aptos"/>
          <w:b/>
          <w:i w:val="0"/>
          <w:sz w:val="26"/>
        </w:rPr>
        <w:t>B. Effectief klachtrecht is aantoonbaar problematisch</w:t>
      </w:r>
    </w:p>
    <w:p>
      <w:pPr>
        <w:keepLines w:val="0"/>
        <w:widowControl/>
        <w:spacing w:after="120" w:line="259" w:lineRule="auto"/>
      </w:pPr>
      <w:r>
        <w:rPr>
          <w:rFonts w:ascii="Aptos" w:hAnsi="Aptos"/>
          <w:b w:val="0"/>
          <w:i w:val="0"/>
          <w:sz w:val="21"/>
        </w:rPr>
        <w:t>De Kinderombudsman constateert in februari 2026 dat residentieel verblijvende jongeren bang kunnen zijn voor consequenties van klagen en dat structurele problemen uit eerdere onderzoeken nog niet zijn opgelost. (</w:t>
      </w:r>
      <w:hyperlink r:id="rId15">
        <w:r>
          <w:rPr>
            <w:rFonts w:ascii="Aptos" w:hAnsi="Aptos"/>
            <w:color w:val="0563C1"/>
            <w:sz w:val="21"/>
            <w:szCs w:val="21"/>
            <w:u w:val="single"/>
          </w:rPr>
          <w:t>kinderombudsman.nl</w:t>
        </w:r>
      </w:hyperlink>
      <w:r>
        <w:rPr>
          <w:rFonts w:ascii="Aptos" w:hAnsi="Aptos"/>
          <w:b w:val="0"/>
          <w:i w:val="0"/>
          <w:sz w:val="21"/>
        </w:rPr>
        <w:t>)</w:t>
      </w:r>
    </w:p>
    <w:p>
      <w:pPr>
        <w:pStyle w:val="Heading2"/>
        <w:keepLines w:val="0"/>
        <w:widowControl/>
        <w:spacing w:after="120" w:line="259" w:lineRule="auto"/>
      </w:pPr>
      <w:r>
        <w:rPr>
          <w:rFonts w:ascii="Aptos" w:hAnsi="Aptos"/>
          <w:b/>
          <w:i w:val="0"/>
          <w:sz w:val="26"/>
        </w:rPr>
        <w:t>C. Het tuchtrecht bevat een opmerkelijke datablinde vlek</w:t>
      </w:r>
    </w:p>
    <w:p>
      <w:pPr>
        <w:keepLines w:val="0"/>
        <w:widowControl/>
        <w:spacing w:after="60" w:line="259" w:lineRule="auto"/>
      </w:pPr>
      <w:r>
        <w:rPr>
          <w:rFonts w:ascii="Aptos" w:hAnsi="Aptos"/>
          <w:b w:val="0"/>
          <w:i w:val="0"/>
          <w:sz w:val="21"/>
        </w:rPr>
        <w:t>We weten exact dat er:</w:t>
      </w:r>
    </w:p>
    <w:p>
      <w:pPr>
        <w:pStyle w:val="ListBullet"/>
        <w:widowControl/>
        <w:spacing w:after="60" w:line="252" w:lineRule="auto"/>
      </w:pPr>
      <w:r>
        <w:rPr>
          <w:rFonts w:ascii="Aptos" w:hAnsi="Aptos"/>
          <w:b w:val="0"/>
          <w:i w:val="0"/>
          <w:sz w:val="21"/>
        </w:rPr>
        <w:t>509 SKJ-klachten waren in 2024;</w:t>
      </w:r>
    </w:p>
    <w:p>
      <w:pPr>
        <w:pStyle w:val="ListBullet"/>
        <w:widowControl/>
        <w:spacing w:after="60" w:line="252" w:lineRule="auto"/>
      </w:pPr>
      <w:r>
        <w:rPr>
          <w:rFonts w:ascii="Aptos" w:hAnsi="Aptos"/>
          <w:b w:val="0"/>
          <w:i w:val="0"/>
          <w:sz w:val="21"/>
        </w:rPr>
        <w:t>669 in 2025;</w:t>
      </w:r>
    </w:p>
    <w:p>
      <w:pPr>
        <w:pStyle w:val="ListBullet"/>
        <w:widowControl/>
        <w:spacing w:after="60" w:line="252" w:lineRule="auto"/>
      </w:pPr>
      <w:r>
        <w:rPr>
          <w:rFonts w:ascii="Aptos" w:hAnsi="Aptos"/>
          <w:b w:val="0"/>
          <w:i w:val="0"/>
          <w:sz w:val="21"/>
        </w:rPr>
        <w:t>91% respectievelijk circa 90% daarvan door ouders/verzorgers werd ingediend.</w:t>
      </w:r>
    </w:p>
    <w:p>
      <w:pPr>
        <w:keepLines w:val="0"/>
        <w:widowControl/>
        <w:spacing w:after="160" w:line="259" w:lineRule="auto"/>
      </w:pPr>
      <w:r>
        <w:rPr>
          <w:rFonts w:ascii="Aptos" w:hAnsi="Aptos"/>
          <w:b w:val="0"/>
          <w:i w:val="0"/>
          <w:sz w:val="21"/>
        </w:rPr>
        <w:t>Maar SKJ publiceert niet hoeveel klachten door minderjarigen zelf zijn ingediend. (</w:t>
      </w:r>
      <w:hyperlink r:id="rId23">
        <w:r>
          <w:rPr>
            <w:rFonts w:ascii="Aptos" w:hAnsi="Aptos"/>
            <w:color w:val="0563C1"/>
            <w:sz w:val="21"/>
            <w:szCs w:val="21"/>
            <w:u w:val="single"/>
          </w:rPr>
          <w:t>skjeugd.nl</w:t>
        </w:r>
      </w:hyperlink>
      <w:r>
        <w:rPr>
          <w:rFonts w:ascii="Aptos" w:hAnsi="Aptos"/>
          <w:b w:val="0"/>
          <w:i w:val="0"/>
          <w:sz w:val="21"/>
        </w:rPr>
        <w:t>)</w:t>
      </w:r>
    </w:p>
    <w:p>
      <w:pPr>
        <w:keepLines w:val="0"/>
        <w:widowControl/>
        <w:spacing w:after="100" w:line="259" w:lineRule="auto"/>
      </w:pPr>
      <w:r>
        <w:rPr>
          <w:rFonts w:ascii="Aptos" w:hAnsi="Aptos"/>
          <w:b w:val="0"/>
          <w:i w:val="0"/>
          <w:sz w:val="21"/>
        </w:rPr>
        <w:t>Dat betekent zelfs dat we momenteel uit de openbare statistiek niet kunnen beantwoorden:</w:t>
      </w:r>
    </w:p>
    <w:tbl>
      <w:tblPr>
        <w:tblW w:type="auto" w:w="0"/>
        <w:tblLayout w:type="fixed"/>
        <w:tblLook w:firstColumn="1" w:firstRow="1" w:lastColumn="0" w:lastRow="0" w:noHBand="0" w:noVBand="1" w:val="04A0"/>
      </w:tblPr>
      <w:tblGrid>
        <w:gridCol w:w="9418"/>
      </w:tblGrid>
      <w:tr>
        <w:trPr>
          <w:cantSplit/>
        </w:trPr>
        <w:tc>
          <w:tcPr>
            <w:tcW w:type="dxa" w:w="9000"/>
            <w:shd w:fill="F7F9FB"/>
            <w:tcBorders>
              <w:left w:val="single" w:sz="18" w:space="0" w:color="17365D"/>
            </w:tcBorders>
            <w:tcMar>
              <w:top w:w="130" w:type="dxa"/>
              <w:start w:w="180" w:type="dxa"/>
              <w:bottom w:w="130" w:type="dxa"/>
              <w:end w:w="160" w:type="dxa"/>
            </w:tcMar>
          </w:tcPr>
          <w:p>
            <w:pPr>
              <w:spacing w:after="0"/>
            </w:pPr>
            <w:r>
              <w:rPr>
                <w:rFonts w:ascii="Aptos" w:hAnsi="Aptos"/>
                <w:i/>
                <w:color w:val="17365D"/>
                <w:sz w:val="22"/>
              </w:rPr>
              <w:t>Hoe vaak gebruikt het kind waarvoor het professionele toezicht uiteindelijk bedoeld is, zelf dat toezicht?</w:t>
            </w:r>
          </w:p>
        </w:tc>
      </w:tr>
    </w:tbl>
    <w:p>
      <w:pPr>
        <w:widowControl/>
        <w:spacing w:after="0"/>
      </w:pPr>
    </w:p>
    <w:p>
      <w:pPr>
        <w:keepLines w:val="0"/>
        <w:widowControl/>
        <w:spacing w:after="120" w:line="259" w:lineRule="auto"/>
      </w:pPr>
      <w:r>
        <w:rPr>
          <w:rFonts w:ascii="Aptos" w:hAnsi="Aptos"/>
          <w:b w:val="0"/>
          <w:i w:val="0"/>
          <w:sz w:val="21"/>
        </w:rPr>
        <w:t>Dat is geen detail. Dat wordt een hoofdvraag.</w:t>
      </w:r>
    </w:p>
    <w:p>
      <w:pPr>
        <w:pStyle w:val="Heading2"/>
        <w:keepLines w:val="0"/>
        <w:widowControl/>
        <w:spacing w:after="120" w:line="259" w:lineRule="auto"/>
      </w:pPr>
      <w:r>
        <w:rPr>
          <w:rFonts w:ascii="Aptos" w:hAnsi="Aptos"/>
          <w:b/>
          <w:i w:val="0"/>
          <w:sz w:val="26"/>
        </w:rPr>
        <w:t>D. Het probleem dat kinderen niet durven spreken is historisch persistent</w:t>
      </w:r>
    </w:p>
    <w:p>
      <w:pPr>
        <w:keepLines w:val="0"/>
        <w:widowControl/>
        <w:spacing w:after="120" w:line="259" w:lineRule="auto"/>
      </w:pPr>
      <w:r>
        <w:rPr>
          <w:rFonts w:ascii="Aptos" w:hAnsi="Aptos"/>
          <w:b w:val="0"/>
          <w:i w:val="0"/>
          <w:sz w:val="21"/>
        </w:rPr>
        <w:t>Commissie-De Winter beschreef in 2019 dat pupillen bij geweld vaak niet konden of durfden spreken en vrijwel nergens terechtkonden. In 2026 publiceert de Kinderombudsman een rapport over klachten in residentiële jeugdhulp met de titel “Je bent maar een kind, je durft gewoon niet.” (</w:t>
      </w:r>
      <w:hyperlink r:id="rId27">
        <w:r>
          <w:rPr>
            <w:rFonts w:ascii="Aptos" w:hAnsi="Aptos"/>
            <w:color w:val="0563C1"/>
            <w:sz w:val="21"/>
            <w:szCs w:val="21"/>
            <w:u w:val="single"/>
          </w:rPr>
          <w:t>rijksoverheid.nl</w:t>
        </w:r>
      </w:hyperlink>
      <w:r>
        <w:rPr>
          <w:rFonts w:ascii="Aptos" w:hAnsi="Aptos"/>
          <w:b w:val="0"/>
          <w:i w:val="0"/>
          <w:sz w:val="21"/>
        </w:rPr>
        <w:t>)</w:t>
      </w:r>
    </w:p>
    <w:p>
      <w:pPr>
        <w:keepLines w:val="0"/>
        <w:widowControl/>
        <w:spacing w:after="120" w:line="259" w:lineRule="auto"/>
      </w:pPr>
      <w:r>
        <w:rPr>
          <w:rFonts w:ascii="Aptos" w:hAnsi="Aptos"/>
          <w:b w:val="0"/>
          <w:i w:val="0"/>
          <w:sz w:val="21"/>
        </w:rPr>
        <w:t>Daarmee is nog niet bewezen dat de huidige situatie gelijk is aan het verleden.</w:t>
      </w:r>
    </w:p>
    <w:p>
      <w:pPr>
        <w:keepLines w:val="0"/>
        <w:widowControl/>
        <w:spacing w:after="240" w:line="259" w:lineRule="auto"/>
      </w:pPr>
      <w:r>
        <w:rPr>
          <w:rFonts w:ascii="Aptos" w:hAnsi="Aptos"/>
          <w:b/>
          <w:i w:val="0"/>
          <w:sz w:val="21"/>
        </w:rPr>
        <w:t>Maar de overeenkomst in het onderliggende safeguarding-mechanisme is onmogelijk te negeren.</w:t>
      </w:r>
    </w:p>
    <w:p>
      <w:pPr>
        <w:pStyle w:val="Heading1"/>
        <w:keepLines w:val="0"/>
        <w:widowControl/>
        <w:spacing w:after="120" w:line="259" w:lineRule="auto"/>
      </w:pPr>
      <w:r>
        <w:rPr>
          <w:rFonts w:ascii="Aptos" w:hAnsi="Aptos"/>
          <w:b/>
          <w:i w:val="0"/>
          <w:sz w:val="32"/>
        </w:rPr>
        <w:t>5. De “kwaadwillende-professionaltest”</w:t>
      </w:r>
    </w:p>
    <w:p>
      <w:pPr>
        <w:keepLines w:val="0"/>
        <w:widowControl/>
        <w:spacing w:after="120" w:line="259" w:lineRule="auto"/>
      </w:pPr>
      <w:r>
        <w:rPr>
          <w:rFonts w:ascii="Aptos" w:hAnsi="Aptos"/>
          <w:b w:val="0"/>
          <w:i w:val="0"/>
          <w:sz w:val="21"/>
        </w:rPr>
        <w:t>Voor iedere residentiële instelling kunnen we uiteindelijk acht eenvoudige vragen stellen:</w:t>
      </w:r>
    </w:p>
    <w:tbl>
      <w:tblPr>
        <w:tblStyle w:val="TableGrid"/>
        <w:tblW w:type="auto" w:w="0"/>
        <w:tblLayout w:type="fixed"/>
        <w:tblLook w:firstColumn="1" w:firstRow="1" w:lastColumn="0" w:lastRow="0" w:noHBand="0" w:noVBand="1" w:val="04A0"/>
      </w:tblPr>
      <w:tblGrid>
        <w:gridCol w:w="4709"/>
        <w:gridCol w:w="4709"/>
      </w:tblGrid>
      <w:tr>
        <w:trPr>
          <w:cantSplit/>
          <w:tblHeader w:val="true"/>
        </w:trPr>
        <w:tc>
          <w:tcPr>
            <w:tcW w:type="dxa" w:w="2592"/>
            <w:shd w:fill="17365D"/>
            <w:vAlign w:val="center"/>
            <w:tcMar>
              <w:top w:w="85" w:type="dxa"/>
              <w:start w:w="100" w:type="dxa"/>
              <w:bottom w:w="85" w:type="dxa"/>
              <w:end w:w="100" w:type="dxa"/>
            </w:tcMar>
          </w:tcPr>
          <w:p>
            <w:pPr>
              <w:spacing w:after="0" w:line="240" w:lineRule="auto"/>
            </w:pPr>
            <w:r>
              <w:rPr>
                <w:rFonts w:ascii="Aptos" w:hAnsi="Aptos"/>
                <w:b/>
                <w:color w:val="FFFFFF"/>
                <w:sz w:val="19"/>
              </w:rPr>
            </w:r>
            <w:r>
              <w:rPr>
                <w:rFonts w:ascii="Aptos" w:hAnsi="Aptos"/>
                <w:b/>
                <w:i w:val="0"/>
                <w:color w:val="FFFFFF"/>
                <w:sz w:val="19"/>
              </w:rPr>
              <w:t>Test</w:t>
            </w:r>
          </w:p>
        </w:tc>
        <w:tc>
          <w:tcPr>
            <w:tcW w:type="dxa" w:w="6623"/>
            <w:shd w:fill="17365D"/>
            <w:vAlign w:val="center"/>
            <w:tcMar>
              <w:top w:w="85" w:type="dxa"/>
              <w:start w:w="100" w:type="dxa"/>
              <w:bottom w:w="85" w:type="dxa"/>
              <w:end w:w="100" w:type="dxa"/>
            </w:tcMar>
          </w:tcPr>
          <w:p>
            <w:pPr>
              <w:spacing w:after="0" w:line="240" w:lineRule="auto"/>
            </w:pPr>
            <w:r>
              <w:rPr>
                <w:rFonts w:ascii="Aptos" w:hAnsi="Aptos"/>
                <w:b/>
                <w:color w:val="FFFFFF"/>
                <w:sz w:val="19"/>
              </w:rPr>
            </w:r>
            <w:r>
              <w:rPr>
                <w:rFonts w:ascii="Aptos" w:hAnsi="Aptos"/>
                <w:b/>
                <w:i w:val="0"/>
                <w:color w:val="FFFFFF"/>
                <w:sz w:val="19"/>
              </w:rPr>
              <w:t>Geslaagd wanneer…</w:t>
            </w:r>
          </w:p>
        </w:tc>
      </w:tr>
      <w:tr>
        <w:trPr>
          <w:cantSplit/>
        </w:trPr>
        <w:tc>
          <w:tcPr>
            <w:tcW w:type="dxa" w:w="2592"/>
            <w:vAlign w:val="center"/>
            <w:tcMar>
              <w:top w:w="85" w:type="dxa"/>
              <w:start w:w="100" w:type="dxa"/>
              <w:bottom w:w="85" w:type="dxa"/>
              <w:end w:w="100" w:type="dxa"/>
            </w:tcMar>
          </w:tcPr>
          <w:p>
            <w:pPr>
              <w:spacing w:after="0" w:line="240" w:lineRule="auto"/>
            </w:pPr>
            <w:r>
              <w:rPr>
                <w:rFonts w:ascii="Aptos" w:hAnsi="Aptos"/>
                <w:b w:val="0"/>
                <w:color w:val="222222"/>
                <w:sz w:val="19"/>
              </w:rPr>
            </w:r>
            <w:r>
              <w:rPr>
                <w:rFonts w:ascii="Aptos" w:hAnsi="Aptos"/>
                <w:b w:val="0"/>
                <w:i w:val="0"/>
                <w:color w:val="222222"/>
                <w:sz w:val="19"/>
              </w:rPr>
              <w:t>Rechten-test</w:t>
            </w:r>
          </w:p>
        </w:tc>
        <w:tc>
          <w:tcPr>
            <w:tcW w:type="dxa" w:w="6623"/>
            <w:vAlign w:val="center"/>
            <w:tcMar>
              <w:top w:w="85" w:type="dxa"/>
              <w:start w:w="100" w:type="dxa"/>
              <w:bottom w:w="85" w:type="dxa"/>
              <w:end w:w="100" w:type="dxa"/>
            </w:tcMar>
          </w:tcPr>
          <w:p>
            <w:pPr>
              <w:spacing w:after="0" w:line="240" w:lineRule="auto"/>
            </w:pPr>
            <w:r>
              <w:rPr>
                <w:rFonts w:ascii="Aptos" w:hAnsi="Aptos"/>
                <w:b w:val="0"/>
                <w:color w:val="222222"/>
                <w:sz w:val="19"/>
              </w:rPr>
            </w:r>
            <w:r>
              <w:rPr>
                <w:rFonts w:ascii="Aptos" w:hAnsi="Aptos"/>
                <w:b w:val="0"/>
                <w:i w:val="0"/>
                <w:color w:val="222222"/>
                <w:sz w:val="19"/>
              </w:rPr>
              <w:t>iedere jongere in eigen woorden zijn belangrijkste rechten kent;</w:t>
            </w:r>
          </w:p>
        </w:tc>
      </w:tr>
      <w:tr>
        <w:trPr>
          <w:cantSplit/>
        </w:trPr>
        <w:tc>
          <w:tcPr>
            <w:tcW w:type="dxa" w:w="2592"/>
            <w:vAlign w:val="center"/>
            <w:tcMar>
              <w:top w:w="85" w:type="dxa"/>
              <w:start w:w="100" w:type="dxa"/>
              <w:bottom w:w="85" w:type="dxa"/>
              <w:end w:w="100" w:type="dxa"/>
            </w:tcMar>
          </w:tcPr>
          <w:p>
            <w:pPr>
              <w:spacing w:after="0" w:line="240" w:lineRule="auto"/>
            </w:pPr>
            <w:r>
              <w:rPr>
                <w:rFonts w:ascii="Aptos" w:hAnsi="Aptos"/>
                <w:b w:val="0"/>
                <w:color w:val="222222"/>
                <w:sz w:val="19"/>
              </w:rPr>
            </w:r>
            <w:r>
              <w:rPr>
                <w:rFonts w:ascii="Aptos" w:hAnsi="Aptos"/>
                <w:b w:val="0"/>
                <w:i w:val="0"/>
                <w:color w:val="222222"/>
                <w:sz w:val="19"/>
              </w:rPr>
              <w:t>Telefoon-test</w:t>
            </w:r>
          </w:p>
        </w:tc>
        <w:tc>
          <w:tcPr>
            <w:tcW w:type="dxa" w:w="6623"/>
            <w:vAlign w:val="center"/>
            <w:tcMar>
              <w:top w:w="85" w:type="dxa"/>
              <w:start w:w="100" w:type="dxa"/>
              <w:bottom w:w="85" w:type="dxa"/>
              <w:end w:w="100" w:type="dxa"/>
            </w:tcMar>
          </w:tcPr>
          <w:p>
            <w:pPr>
              <w:spacing w:after="0" w:line="240" w:lineRule="auto"/>
            </w:pPr>
            <w:r>
              <w:rPr>
                <w:rFonts w:ascii="Aptos" w:hAnsi="Aptos"/>
                <w:b w:val="0"/>
                <w:color w:val="222222"/>
                <w:sz w:val="19"/>
              </w:rPr>
            </w:r>
            <w:r>
              <w:rPr>
                <w:rFonts w:ascii="Aptos" w:hAnsi="Aptos"/>
                <w:b w:val="0"/>
                <w:i w:val="0"/>
                <w:color w:val="222222"/>
                <w:sz w:val="19"/>
              </w:rPr>
              <w:t>de jongere zelfstandig een extern hulpnummer kan bereiken;</w:t>
            </w:r>
          </w:p>
        </w:tc>
      </w:tr>
      <w:tr>
        <w:trPr>
          <w:cantSplit/>
        </w:trPr>
        <w:tc>
          <w:tcPr>
            <w:tcW w:type="dxa" w:w="2592"/>
            <w:vAlign w:val="center"/>
            <w:tcMar>
              <w:top w:w="85" w:type="dxa"/>
              <w:start w:w="100" w:type="dxa"/>
              <w:bottom w:w="85" w:type="dxa"/>
              <w:end w:w="100" w:type="dxa"/>
            </w:tcMar>
          </w:tcPr>
          <w:p>
            <w:pPr>
              <w:spacing w:after="0" w:line="240" w:lineRule="auto"/>
            </w:pPr>
            <w:r>
              <w:rPr>
                <w:rFonts w:ascii="Aptos" w:hAnsi="Aptos"/>
                <w:b w:val="0"/>
                <w:color w:val="222222"/>
                <w:sz w:val="19"/>
              </w:rPr>
            </w:r>
            <w:r>
              <w:rPr>
                <w:rFonts w:ascii="Aptos" w:hAnsi="Aptos"/>
                <w:b w:val="0"/>
                <w:i w:val="0"/>
                <w:color w:val="222222"/>
                <w:sz w:val="19"/>
              </w:rPr>
              <w:t>Advocaat-test</w:t>
            </w:r>
          </w:p>
        </w:tc>
        <w:tc>
          <w:tcPr>
            <w:tcW w:type="dxa" w:w="6623"/>
            <w:vAlign w:val="center"/>
            <w:tcMar>
              <w:top w:w="85" w:type="dxa"/>
              <w:start w:w="100" w:type="dxa"/>
              <w:bottom w:w="85" w:type="dxa"/>
              <w:end w:w="100" w:type="dxa"/>
            </w:tcMar>
          </w:tcPr>
          <w:p>
            <w:pPr>
              <w:spacing w:after="0" w:line="240" w:lineRule="auto"/>
            </w:pPr>
            <w:r>
              <w:rPr>
                <w:rFonts w:ascii="Aptos" w:hAnsi="Aptos"/>
                <w:b w:val="0"/>
                <w:color w:val="222222"/>
                <w:sz w:val="19"/>
              </w:rPr>
            </w:r>
            <w:r>
              <w:rPr>
                <w:rFonts w:ascii="Aptos" w:hAnsi="Aptos"/>
                <w:b w:val="0"/>
                <w:i w:val="0"/>
                <w:color w:val="222222"/>
                <w:sz w:val="19"/>
              </w:rPr>
              <w:t>vertrouwelijke juridische consultatie praktisch mogelijk is;</w:t>
            </w:r>
          </w:p>
        </w:tc>
      </w:tr>
      <w:tr>
        <w:trPr>
          <w:cantSplit/>
        </w:trPr>
        <w:tc>
          <w:tcPr>
            <w:tcW w:type="dxa" w:w="2592"/>
            <w:vAlign w:val="center"/>
            <w:tcMar>
              <w:top w:w="85" w:type="dxa"/>
              <w:start w:w="100" w:type="dxa"/>
              <w:bottom w:w="85" w:type="dxa"/>
              <w:end w:w="100" w:type="dxa"/>
            </w:tcMar>
          </w:tcPr>
          <w:p>
            <w:pPr>
              <w:spacing w:after="0" w:line="240" w:lineRule="auto"/>
            </w:pPr>
            <w:r>
              <w:rPr>
                <w:rFonts w:ascii="Aptos" w:hAnsi="Aptos"/>
                <w:b w:val="0"/>
                <w:color w:val="222222"/>
                <w:sz w:val="19"/>
              </w:rPr>
            </w:r>
            <w:r>
              <w:rPr>
                <w:rFonts w:ascii="Aptos" w:hAnsi="Aptos"/>
                <w:b w:val="0"/>
                <w:i w:val="0"/>
                <w:color w:val="222222"/>
                <w:sz w:val="19"/>
              </w:rPr>
              <w:t>Brief-test</w:t>
            </w:r>
          </w:p>
        </w:tc>
        <w:tc>
          <w:tcPr>
            <w:tcW w:type="dxa" w:w="6623"/>
            <w:vAlign w:val="center"/>
            <w:tcMar>
              <w:top w:w="85" w:type="dxa"/>
              <w:start w:w="100" w:type="dxa"/>
              <w:bottom w:w="85" w:type="dxa"/>
              <w:end w:w="100" w:type="dxa"/>
            </w:tcMar>
          </w:tcPr>
          <w:p>
            <w:pPr>
              <w:spacing w:after="0" w:line="240" w:lineRule="auto"/>
            </w:pPr>
            <w:r>
              <w:rPr>
                <w:rFonts w:ascii="Aptos" w:hAnsi="Aptos"/>
                <w:b w:val="0"/>
                <w:color w:val="222222"/>
                <w:sz w:val="19"/>
              </w:rPr>
            </w:r>
            <w:r>
              <w:rPr>
                <w:rFonts w:ascii="Aptos" w:hAnsi="Aptos"/>
                <w:b w:val="0"/>
                <w:i w:val="0"/>
                <w:color w:val="222222"/>
                <w:sz w:val="19"/>
              </w:rPr>
              <w:t>een melding aan rechter/advocaat/IGJ ongefilterd kan vertrekken;</w:t>
            </w:r>
          </w:p>
        </w:tc>
      </w:tr>
      <w:tr>
        <w:trPr>
          <w:cantSplit/>
        </w:trPr>
        <w:tc>
          <w:tcPr>
            <w:tcW w:type="dxa" w:w="2592"/>
            <w:vAlign w:val="center"/>
            <w:tcMar>
              <w:top w:w="85" w:type="dxa"/>
              <w:start w:w="100" w:type="dxa"/>
              <w:bottom w:w="85" w:type="dxa"/>
              <w:end w:w="100" w:type="dxa"/>
            </w:tcMar>
          </w:tcPr>
          <w:p>
            <w:pPr>
              <w:spacing w:after="0" w:line="240" w:lineRule="auto"/>
            </w:pPr>
            <w:r>
              <w:rPr>
                <w:rFonts w:ascii="Aptos" w:hAnsi="Aptos"/>
                <w:b w:val="0"/>
                <w:color w:val="222222"/>
                <w:sz w:val="19"/>
              </w:rPr>
            </w:r>
            <w:r>
              <w:rPr>
                <w:rFonts w:ascii="Aptos" w:hAnsi="Aptos"/>
                <w:b w:val="0"/>
                <w:i w:val="0"/>
                <w:color w:val="222222"/>
                <w:sz w:val="19"/>
              </w:rPr>
              <w:t>Klacht-test</w:t>
            </w:r>
          </w:p>
        </w:tc>
        <w:tc>
          <w:tcPr>
            <w:tcW w:type="dxa" w:w="6623"/>
            <w:vAlign w:val="center"/>
            <w:tcMar>
              <w:top w:w="85" w:type="dxa"/>
              <w:start w:w="100" w:type="dxa"/>
              <w:bottom w:w="85" w:type="dxa"/>
              <w:end w:w="100" w:type="dxa"/>
            </w:tcMar>
          </w:tcPr>
          <w:p>
            <w:pPr>
              <w:spacing w:after="0" w:line="240" w:lineRule="auto"/>
            </w:pPr>
            <w:r>
              <w:rPr>
                <w:rFonts w:ascii="Aptos" w:hAnsi="Aptos"/>
                <w:b w:val="0"/>
                <w:color w:val="222222"/>
                <w:sz w:val="19"/>
              </w:rPr>
            </w:r>
            <w:r>
              <w:rPr>
                <w:rFonts w:ascii="Aptos" w:hAnsi="Aptos"/>
                <w:b w:val="0"/>
                <w:i w:val="0"/>
                <w:color w:val="222222"/>
                <w:sz w:val="19"/>
              </w:rPr>
              <w:t>klagen mogelijk is zonder toestemming van de instelling;</w:t>
            </w:r>
          </w:p>
        </w:tc>
      </w:tr>
      <w:tr>
        <w:trPr>
          <w:cantSplit/>
        </w:trPr>
        <w:tc>
          <w:tcPr>
            <w:tcW w:type="dxa" w:w="2592"/>
            <w:vAlign w:val="center"/>
            <w:tcMar>
              <w:top w:w="85" w:type="dxa"/>
              <w:start w:w="100" w:type="dxa"/>
              <w:bottom w:w="85" w:type="dxa"/>
              <w:end w:w="100" w:type="dxa"/>
            </w:tcMar>
          </w:tcPr>
          <w:p>
            <w:pPr>
              <w:spacing w:after="0" w:line="240" w:lineRule="auto"/>
            </w:pPr>
            <w:r>
              <w:rPr>
                <w:rFonts w:ascii="Aptos" w:hAnsi="Aptos"/>
                <w:b w:val="0"/>
                <w:color w:val="222222"/>
                <w:sz w:val="19"/>
              </w:rPr>
            </w:r>
            <w:r>
              <w:rPr>
                <w:rFonts w:ascii="Aptos" w:hAnsi="Aptos"/>
                <w:b w:val="0"/>
                <w:i w:val="0"/>
                <w:color w:val="222222"/>
                <w:sz w:val="19"/>
              </w:rPr>
              <w:t>Repercussie-test</w:t>
            </w:r>
          </w:p>
        </w:tc>
        <w:tc>
          <w:tcPr>
            <w:tcW w:type="dxa" w:w="6623"/>
            <w:vAlign w:val="center"/>
            <w:tcMar>
              <w:top w:w="85" w:type="dxa"/>
              <w:start w:w="100" w:type="dxa"/>
              <w:bottom w:w="85" w:type="dxa"/>
              <w:end w:w="100" w:type="dxa"/>
            </w:tcMar>
          </w:tcPr>
          <w:p>
            <w:pPr>
              <w:spacing w:after="0" w:line="240" w:lineRule="auto"/>
            </w:pPr>
            <w:r>
              <w:rPr>
                <w:rFonts w:ascii="Aptos" w:hAnsi="Aptos"/>
                <w:b w:val="0"/>
                <w:color w:val="222222"/>
                <w:sz w:val="19"/>
              </w:rPr>
            </w:r>
            <w:r>
              <w:rPr>
                <w:rFonts w:ascii="Aptos" w:hAnsi="Aptos"/>
                <w:b w:val="0"/>
                <w:i w:val="0"/>
                <w:color w:val="222222"/>
                <w:sz w:val="19"/>
              </w:rPr>
              <w:t>klachten aantoonbaar niet leiden tot verlies van vrijheden/contact;</w:t>
            </w:r>
          </w:p>
        </w:tc>
      </w:tr>
      <w:tr>
        <w:trPr>
          <w:cantSplit/>
        </w:trPr>
        <w:tc>
          <w:tcPr>
            <w:tcW w:type="dxa" w:w="2592"/>
            <w:vAlign w:val="center"/>
            <w:tcMar>
              <w:top w:w="85" w:type="dxa"/>
              <w:start w:w="100" w:type="dxa"/>
              <w:bottom w:w="85" w:type="dxa"/>
              <w:end w:w="100" w:type="dxa"/>
            </w:tcMar>
          </w:tcPr>
          <w:p>
            <w:pPr>
              <w:spacing w:after="0" w:line="240" w:lineRule="auto"/>
            </w:pPr>
            <w:r>
              <w:rPr>
                <w:rFonts w:ascii="Aptos" w:hAnsi="Aptos"/>
                <w:b w:val="0"/>
                <w:color w:val="222222"/>
                <w:sz w:val="19"/>
              </w:rPr>
            </w:r>
            <w:r>
              <w:rPr>
                <w:rFonts w:ascii="Aptos" w:hAnsi="Aptos"/>
                <w:b w:val="0"/>
                <w:i w:val="0"/>
                <w:color w:val="222222"/>
                <w:sz w:val="19"/>
              </w:rPr>
              <w:t>Onafhankelijkheidstest</w:t>
            </w:r>
          </w:p>
        </w:tc>
        <w:tc>
          <w:tcPr>
            <w:tcW w:type="dxa" w:w="6623"/>
            <w:vAlign w:val="center"/>
            <w:tcMar>
              <w:top w:w="85" w:type="dxa"/>
              <w:start w:w="100" w:type="dxa"/>
              <w:bottom w:w="85" w:type="dxa"/>
              <w:end w:w="100" w:type="dxa"/>
            </w:tcMar>
          </w:tcPr>
          <w:p>
            <w:pPr>
              <w:spacing w:after="0" w:line="240" w:lineRule="auto"/>
            </w:pPr>
            <w:r>
              <w:rPr>
                <w:rFonts w:ascii="Aptos" w:hAnsi="Aptos"/>
                <w:b w:val="0"/>
                <w:color w:val="222222"/>
                <w:sz w:val="19"/>
              </w:rPr>
            </w:r>
            <w:r>
              <w:rPr>
                <w:rFonts w:ascii="Aptos" w:hAnsi="Aptos"/>
                <w:b w:val="0"/>
                <w:i w:val="0"/>
                <w:color w:val="222222"/>
                <w:sz w:val="19"/>
              </w:rPr>
              <w:t>het kind regelmatig alleen door iemand buiten de instelling wordt gesproken;</w:t>
            </w:r>
          </w:p>
        </w:tc>
      </w:tr>
      <w:tr>
        <w:trPr>
          <w:cantSplit/>
        </w:trPr>
        <w:tc>
          <w:tcPr>
            <w:tcW w:type="dxa" w:w="2592"/>
            <w:vAlign w:val="center"/>
            <w:tcMar>
              <w:top w:w="85" w:type="dxa"/>
              <w:start w:w="100" w:type="dxa"/>
              <w:bottom w:w="85" w:type="dxa"/>
              <w:end w:w="100" w:type="dxa"/>
            </w:tcMar>
          </w:tcPr>
          <w:p>
            <w:pPr>
              <w:spacing w:after="0" w:line="240" w:lineRule="auto"/>
            </w:pPr>
            <w:r>
              <w:rPr>
                <w:rFonts w:ascii="Aptos" w:hAnsi="Aptos"/>
                <w:b w:val="0"/>
                <w:color w:val="222222"/>
                <w:sz w:val="19"/>
              </w:rPr>
            </w:r>
            <w:r>
              <w:rPr>
                <w:rFonts w:ascii="Aptos" w:hAnsi="Aptos"/>
                <w:b w:val="0"/>
                <w:i w:val="0"/>
                <w:color w:val="222222"/>
                <w:sz w:val="19"/>
              </w:rPr>
              <w:t>Exit-test</w:t>
            </w:r>
          </w:p>
        </w:tc>
        <w:tc>
          <w:tcPr>
            <w:tcW w:type="dxa" w:w="6623"/>
            <w:vAlign w:val="center"/>
            <w:tcMar>
              <w:top w:w="85" w:type="dxa"/>
              <w:start w:w="100" w:type="dxa"/>
              <w:bottom w:w="85" w:type="dxa"/>
              <w:end w:w="100" w:type="dxa"/>
            </w:tcMar>
          </w:tcPr>
          <w:p>
            <w:pPr>
              <w:spacing w:after="0" w:line="240" w:lineRule="auto"/>
            </w:pPr>
            <w:r>
              <w:rPr>
                <w:rFonts w:ascii="Aptos" w:hAnsi="Aptos"/>
                <w:b w:val="0"/>
                <w:color w:val="222222"/>
                <w:sz w:val="19"/>
              </w:rPr>
            </w:r>
            <w:r>
              <w:rPr>
                <w:rFonts w:ascii="Aptos" w:hAnsi="Aptos"/>
                <w:b w:val="0"/>
                <w:i w:val="0"/>
                <w:color w:val="222222"/>
                <w:sz w:val="19"/>
              </w:rPr>
              <w:t>vlak vóór 18 de jongere weet welke macht de instelling op de 18e verjaardag verliest en welke rechten hij/zij zelfstandig verkrijgt.</w:t>
            </w:r>
          </w:p>
        </w:tc>
      </w:tr>
    </w:tbl>
    <w:p>
      <w:pPr>
        <w:widowControl/>
        <w:spacing w:after="80"/>
      </w:pPr>
    </w:p>
    <w:p>
      <w:pPr>
        <w:keepLines w:val="0"/>
        <w:widowControl/>
        <w:spacing w:after="160" w:line="259" w:lineRule="auto"/>
      </w:pPr>
      <w:r>
        <w:rPr>
          <w:rFonts w:ascii="Aptos" w:hAnsi="Aptos"/>
          <w:b/>
          <w:i w:val="0"/>
          <w:sz w:val="21"/>
        </w:rPr>
        <w:t>Als een kwaadwillende medewerker één of meer van deze acht routes kan blokkeren, bestaat een safeguarding-zwakte.</w:t>
      </w:r>
    </w:p>
    <w:p>
      <w:pPr>
        <w:keepLines w:val="0"/>
        <w:widowControl/>
        <w:spacing w:after="240" w:line="259" w:lineRule="auto"/>
      </w:pPr>
      <w:r>
        <w:rPr>
          <w:rFonts w:ascii="Aptos" w:hAnsi="Aptos"/>
          <w:b w:val="0"/>
          <w:i w:val="0"/>
          <w:sz w:val="21"/>
        </w:rPr>
        <w:t>Dat is onafhankelijk van de diagnose, intentie, seksuele voorkeur of persoonlijkheid van die medewerker.</w:t>
      </w:r>
    </w:p>
    <w:p>
      <w:pPr>
        <w:pStyle w:val="Heading1"/>
        <w:keepLines w:val="0"/>
        <w:widowControl/>
        <w:spacing w:after="120" w:line="259" w:lineRule="auto"/>
      </w:pPr>
      <w:r>
        <w:rPr>
          <w:rFonts w:ascii="Aptos" w:hAnsi="Aptos"/>
          <w:b/>
          <w:i w:val="0"/>
          <w:sz w:val="32"/>
        </w:rPr>
        <w:t>6. CIV-CARE Safeguarding Access Score — experimenteel</w:t>
      </w:r>
    </w:p>
    <w:p>
      <w:pPr>
        <w:keepLines w:val="0"/>
        <w:widowControl/>
        <w:spacing w:after="120" w:line="259" w:lineRule="auto"/>
      </w:pPr>
      <w:r>
        <w:rPr>
          <w:rFonts w:ascii="Aptos" w:hAnsi="Aptos"/>
          <w:b w:val="0"/>
          <w:i w:val="0"/>
          <w:sz w:val="21"/>
        </w:rPr>
        <w:t>Hier kunnen we vervolgens een niet-gevalideerde onderzoeksindex van maken.</w:t>
      </w:r>
    </w:p>
    <w:tbl>
      <w:tblPr>
        <w:tblStyle w:val="TableGrid"/>
        <w:tblW w:type="auto" w:w="0"/>
        <w:tblLayout w:type="fixed"/>
        <w:tblLook w:firstColumn="1" w:firstRow="1" w:lastColumn="0" w:lastRow="0" w:noHBand="0" w:noVBand="1" w:val="04A0"/>
      </w:tblPr>
      <w:tblGrid>
        <w:gridCol w:w="4709"/>
        <w:gridCol w:w="4709"/>
      </w:tblGrid>
      <w:tr>
        <w:trPr>
          <w:cantSplit/>
          <w:tblHeader w:val="true"/>
        </w:trPr>
        <w:tc>
          <w:tcPr>
            <w:tcW w:type="dxa" w:w="1296"/>
            <w:shd w:fill="17365D"/>
            <w:vAlign w:val="center"/>
            <w:tcMar>
              <w:top w:w="85" w:type="dxa"/>
              <w:start w:w="100" w:type="dxa"/>
              <w:bottom w:w="85" w:type="dxa"/>
              <w:end w:w="100" w:type="dxa"/>
            </w:tcMar>
          </w:tcPr>
          <w:p>
            <w:pPr>
              <w:spacing w:after="0" w:line="240" w:lineRule="auto"/>
            </w:pPr>
            <w:r>
              <w:rPr>
                <w:rFonts w:ascii="Aptos" w:hAnsi="Aptos"/>
                <w:b/>
                <w:color w:val="FFFFFF"/>
                <w:sz w:val="19"/>
              </w:rPr>
            </w:r>
            <w:r>
              <w:rPr>
                <w:rFonts w:ascii="Aptos" w:hAnsi="Aptos"/>
                <w:b/>
                <w:i w:val="0"/>
                <w:color w:val="FFFFFF"/>
                <w:sz w:val="19"/>
              </w:rPr>
              <w:t>Score</w:t>
            </w:r>
          </w:p>
        </w:tc>
        <w:tc>
          <w:tcPr>
            <w:tcW w:type="dxa" w:w="7920"/>
            <w:shd w:fill="17365D"/>
            <w:vAlign w:val="center"/>
            <w:tcMar>
              <w:top w:w="85" w:type="dxa"/>
              <w:start w:w="100" w:type="dxa"/>
              <w:bottom w:w="85" w:type="dxa"/>
              <w:end w:w="100" w:type="dxa"/>
            </w:tcMar>
          </w:tcPr>
          <w:p>
            <w:pPr>
              <w:spacing w:after="0" w:line="240" w:lineRule="auto"/>
            </w:pPr>
            <w:r>
              <w:rPr>
                <w:rFonts w:ascii="Aptos" w:hAnsi="Aptos"/>
                <w:b/>
                <w:color w:val="FFFFFF"/>
                <w:sz w:val="19"/>
              </w:rPr>
            </w:r>
            <w:r>
              <w:rPr>
                <w:rFonts w:ascii="Aptos" w:hAnsi="Aptos"/>
                <w:b/>
                <w:i w:val="0"/>
                <w:color w:val="FFFFFF"/>
                <w:sz w:val="19"/>
              </w:rPr>
              <w:t>Betekenis</w:t>
            </w:r>
          </w:p>
        </w:tc>
      </w:tr>
      <w:tr>
        <w:trPr>
          <w:cantSplit/>
        </w:trPr>
        <w:tc>
          <w:tcPr>
            <w:tcW w:type="dxa" w:w="1296"/>
            <w:vAlign w:val="center"/>
            <w:tcMar>
              <w:top w:w="85" w:type="dxa"/>
              <w:start w:w="100" w:type="dxa"/>
              <w:bottom w:w="85" w:type="dxa"/>
              <w:end w:w="100" w:type="dxa"/>
            </w:tcMar>
          </w:tcPr>
          <w:p>
            <w:pPr>
              <w:spacing w:after="0" w:line="240" w:lineRule="auto"/>
            </w:pPr>
            <w:r>
              <w:rPr>
                <w:rFonts w:ascii="Aptos" w:hAnsi="Aptos"/>
                <w:b w:val="0"/>
                <w:color w:val="222222"/>
                <w:sz w:val="19"/>
              </w:rPr>
            </w:r>
            <w:r>
              <w:rPr>
                <w:rFonts w:ascii="Aptos" w:hAnsi="Aptos"/>
                <w:b w:val="0"/>
                <w:i w:val="0"/>
                <w:color w:val="222222"/>
                <w:sz w:val="19"/>
              </w:rPr>
              <w:t>2</w:t>
            </w:r>
          </w:p>
        </w:tc>
        <w:tc>
          <w:tcPr>
            <w:tcW w:type="dxa" w:w="7920"/>
            <w:vAlign w:val="center"/>
            <w:tcMar>
              <w:top w:w="85" w:type="dxa"/>
              <w:start w:w="100" w:type="dxa"/>
              <w:bottom w:w="85" w:type="dxa"/>
              <w:end w:w="100" w:type="dxa"/>
            </w:tcMar>
          </w:tcPr>
          <w:p>
            <w:pPr>
              <w:spacing w:after="0" w:line="240" w:lineRule="auto"/>
            </w:pPr>
            <w:r>
              <w:rPr>
                <w:rFonts w:ascii="Aptos" w:hAnsi="Aptos"/>
                <w:b w:val="0"/>
                <w:color w:val="222222"/>
                <w:sz w:val="19"/>
              </w:rPr>
            </w:r>
            <w:r>
              <w:rPr>
                <w:rFonts w:ascii="Aptos" w:hAnsi="Aptos"/>
                <w:b w:val="0"/>
                <w:i w:val="0"/>
                <w:color w:val="222222"/>
                <w:sz w:val="19"/>
              </w:rPr>
              <w:t>Recht bestaat én jongere kan het zelfstandig, vertrouwelijk en aantoonbaar gebruiken.</w:t>
            </w:r>
          </w:p>
        </w:tc>
      </w:tr>
      <w:tr>
        <w:trPr>
          <w:cantSplit/>
        </w:trPr>
        <w:tc>
          <w:tcPr>
            <w:tcW w:type="dxa" w:w="1296"/>
            <w:vAlign w:val="center"/>
            <w:tcMar>
              <w:top w:w="85" w:type="dxa"/>
              <w:start w:w="100" w:type="dxa"/>
              <w:bottom w:w="85" w:type="dxa"/>
              <w:end w:w="100" w:type="dxa"/>
            </w:tcMar>
          </w:tcPr>
          <w:p>
            <w:pPr>
              <w:spacing w:after="0" w:line="240" w:lineRule="auto"/>
            </w:pPr>
            <w:r>
              <w:rPr>
                <w:rFonts w:ascii="Aptos" w:hAnsi="Aptos"/>
                <w:b w:val="0"/>
                <w:color w:val="222222"/>
                <w:sz w:val="19"/>
              </w:rPr>
            </w:r>
            <w:r>
              <w:rPr>
                <w:rFonts w:ascii="Aptos" w:hAnsi="Aptos"/>
                <w:b w:val="0"/>
                <w:i w:val="0"/>
                <w:color w:val="222222"/>
                <w:sz w:val="19"/>
              </w:rPr>
              <w:t>1</w:t>
            </w:r>
          </w:p>
        </w:tc>
        <w:tc>
          <w:tcPr>
            <w:tcW w:type="dxa" w:w="7920"/>
            <w:vAlign w:val="center"/>
            <w:tcMar>
              <w:top w:w="85" w:type="dxa"/>
              <w:start w:w="100" w:type="dxa"/>
              <w:bottom w:w="85" w:type="dxa"/>
              <w:end w:w="100" w:type="dxa"/>
            </w:tcMar>
          </w:tcPr>
          <w:p>
            <w:pPr>
              <w:spacing w:after="0" w:line="240" w:lineRule="auto"/>
            </w:pPr>
            <w:r>
              <w:rPr>
                <w:rFonts w:ascii="Aptos" w:hAnsi="Aptos"/>
                <w:b w:val="0"/>
                <w:color w:val="222222"/>
                <w:sz w:val="19"/>
              </w:rPr>
            </w:r>
            <w:r>
              <w:rPr>
                <w:rFonts w:ascii="Aptos" w:hAnsi="Aptos"/>
                <w:b w:val="0"/>
                <w:i w:val="0"/>
                <w:color w:val="222222"/>
                <w:sz w:val="19"/>
              </w:rPr>
              <w:t>Recht bestaat formeel, maar toegang is afhankelijk, onduidelijk of incidenteel.</w:t>
            </w:r>
          </w:p>
        </w:tc>
      </w:tr>
      <w:tr>
        <w:trPr>
          <w:cantSplit/>
        </w:trPr>
        <w:tc>
          <w:tcPr>
            <w:tcW w:type="dxa" w:w="1296"/>
            <w:vAlign w:val="center"/>
            <w:tcMar>
              <w:top w:w="85" w:type="dxa"/>
              <w:start w:w="100" w:type="dxa"/>
              <w:bottom w:w="85" w:type="dxa"/>
              <w:end w:w="100" w:type="dxa"/>
            </w:tcMar>
          </w:tcPr>
          <w:p>
            <w:pPr>
              <w:spacing w:after="0" w:line="240" w:lineRule="auto"/>
            </w:pPr>
            <w:r>
              <w:rPr>
                <w:rFonts w:ascii="Aptos" w:hAnsi="Aptos"/>
                <w:b w:val="0"/>
                <w:color w:val="222222"/>
                <w:sz w:val="19"/>
              </w:rPr>
            </w:r>
            <w:r>
              <w:rPr>
                <w:rFonts w:ascii="Aptos" w:hAnsi="Aptos"/>
                <w:b w:val="0"/>
                <w:i w:val="0"/>
                <w:color w:val="222222"/>
                <w:sz w:val="19"/>
              </w:rPr>
              <w:t>0</w:t>
            </w:r>
          </w:p>
        </w:tc>
        <w:tc>
          <w:tcPr>
            <w:tcW w:type="dxa" w:w="7920"/>
            <w:vAlign w:val="center"/>
            <w:tcMar>
              <w:top w:w="85" w:type="dxa"/>
              <w:start w:w="100" w:type="dxa"/>
              <w:bottom w:w="85" w:type="dxa"/>
              <w:end w:w="100" w:type="dxa"/>
            </w:tcMar>
          </w:tcPr>
          <w:p>
            <w:pPr>
              <w:spacing w:after="0" w:line="240" w:lineRule="auto"/>
            </w:pPr>
            <w:r>
              <w:rPr>
                <w:rFonts w:ascii="Aptos" w:hAnsi="Aptos"/>
                <w:b w:val="0"/>
                <w:color w:val="222222"/>
                <w:sz w:val="19"/>
              </w:rPr>
            </w:r>
            <w:r>
              <w:rPr>
                <w:rFonts w:ascii="Aptos" w:hAnsi="Aptos"/>
                <w:b w:val="0"/>
                <w:i w:val="0"/>
                <w:color w:val="222222"/>
                <w:sz w:val="19"/>
              </w:rPr>
              <w:t>Recht ontbreekt feitelijk, wordt geblokkeerd of jongere weet niet dat het bestaat.</w:t>
            </w:r>
          </w:p>
        </w:tc>
      </w:tr>
    </w:tbl>
    <w:p>
      <w:pPr>
        <w:widowControl/>
        <w:spacing w:after="80"/>
      </w:pPr>
    </w:p>
    <w:p>
      <w:pPr>
        <w:keepLines w:val="0"/>
        <w:widowControl/>
        <w:spacing w:after="120" w:line="259" w:lineRule="auto"/>
      </w:pPr>
      <w:r>
        <w:rPr>
          <w:rFonts w:ascii="Aptos" w:hAnsi="Aptos"/>
          <w:b w:val="0"/>
          <w:i w:val="0"/>
          <w:sz w:val="21"/>
        </w:rPr>
        <w:t>Acht hoofdwaarborgen geven maximaal 16 punten.</w:t>
      </w:r>
    </w:p>
    <w:p>
      <w:pPr>
        <w:keepLines w:val="0"/>
        <w:widowControl/>
        <w:spacing w:after="240" w:line="259" w:lineRule="auto"/>
      </w:pPr>
      <w:r>
        <w:rPr>
          <w:rFonts w:ascii="Aptos" w:hAnsi="Aptos"/>
          <w:b w:val="0"/>
          <w:i w:val="0"/>
          <w:sz w:val="21"/>
        </w:rPr>
        <w:t>De bedoeling is niet om een instelling wetenschappelijk te classificeren op basis van één score. De score is een red-flag instrument: een 0 moet onmiddellijk leiden tot de vraag wie deze essentiële uitweg controleert en waarom.</w:t>
      </w:r>
    </w:p>
    <w:p>
      <w:pPr>
        <w:pStyle w:val="Heading1"/>
        <w:keepLines w:val="0"/>
        <w:widowControl/>
        <w:spacing w:after="120" w:line="259" w:lineRule="auto"/>
      </w:pPr>
      <w:r>
        <w:rPr>
          <w:rFonts w:ascii="Aptos" w:hAnsi="Aptos"/>
          <w:b/>
          <w:i w:val="0"/>
          <w:sz w:val="32"/>
        </w:rPr>
        <w:t>7. De eerste dataverzoeken</w:t>
      </w:r>
    </w:p>
    <w:p>
      <w:pPr>
        <w:keepLines w:val="0"/>
        <w:widowControl/>
        <w:spacing w:after="120" w:line="259" w:lineRule="auto"/>
      </w:pPr>
      <w:r>
        <w:rPr>
          <w:rFonts w:ascii="Aptos" w:hAnsi="Aptos"/>
          <w:b w:val="0"/>
          <w:i w:val="0"/>
          <w:sz w:val="21"/>
        </w:rPr>
        <w:t>Voor een versie 0.2 moeten we vooral gegevens ophalen die nu opvallend genoeg niet openbaar uitgesplitst zijn:</w:t>
      </w:r>
    </w:p>
    <w:p>
      <w:pPr>
        <w:pStyle w:val="ListNumber"/>
        <w:widowControl/>
        <w:spacing w:after="60"/>
      </w:pPr>
      <w:r>
        <w:rPr>
          <w:rFonts w:ascii="Aptos" w:hAnsi="Aptos"/>
          <w:b w:val="0"/>
          <w:i w:val="0"/>
          <w:sz w:val="21"/>
        </w:rPr>
        <w:t>SKJ: aantal klachtindieners jonger dan 18 in 2023, 2024 en 2025; leeftijd; verblijfstype; professionalcategorie; ontvankelijkheid; route en uitkomst.</w:t>
      </w:r>
    </w:p>
    <w:p>
      <w:pPr>
        <w:pStyle w:val="ListNumber"/>
        <w:widowControl/>
        <w:spacing w:after="60"/>
      </w:pPr>
      <w:r>
        <w:rPr>
          <w:rFonts w:ascii="Aptos" w:hAnsi="Aptos"/>
          <w:b w:val="0"/>
          <w:i w:val="0"/>
          <w:sz w:val="21"/>
        </w:rPr>
        <w:t>Jeugdstem: van de 117 personen/165 tuchtrechttrajecten in 2024: hoeveel waren minderjarigen, hoeveel residentieel geplaatst en hoeveel bij een GI betrokken?</w:t>
      </w:r>
    </w:p>
    <w:p>
      <w:pPr>
        <w:pStyle w:val="ListNumber"/>
        <w:widowControl/>
        <w:spacing w:after="60"/>
      </w:pPr>
      <w:r>
        <w:rPr>
          <w:rFonts w:ascii="Aptos" w:hAnsi="Aptos"/>
          <w:b w:val="0"/>
          <w:i w:val="0"/>
          <w:sz w:val="21"/>
        </w:rPr>
        <w:t>IGJ: hoeveel meldingen over geweld/vrijheidsbeperking werden rechtstreeks door minderjarigen gedaan?</w:t>
      </w:r>
    </w:p>
    <w:p>
      <w:pPr>
        <w:pStyle w:val="ListNumber"/>
        <w:widowControl/>
        <w:spacing w:after="60"/>
      </w:pPr>
      <w:r>
        <w:rPr>
          <w:rFonts w:ascii="Aptos" w:hAnsi="Aptos"/>
          <w:b w:val="0"/>
          <w:i w:val="0"/>
          <w:sz w:val="21"/>
        </w:rPr>
        <w:t>Residentiële aanbieders: percentage jongeren dat zelfstandig beschikt over telefoon/e-mail en vertrouwelijke juridische communicatie.</w:t>
      </w:r>
    </w:p>
    <w:p>
      <w:pPr>
        <w:pStyle w:val="ListNumber"/>
        <w:widowControl/>
        <w:spacing w:after="60"/>
      </w:pPr>
      <w:r>
        <w:rPr>
          <w:rFonts w:ascii="Aptos" w:hAnsi="Aptos"/>
          <w:b w:val="0"/>
          <w:i w:val="0"/>
          <w:sz w:val="21"/>
        </w:rPr>
        <w:t>Rechtspraak: aantal informele rechtsingangen ex art. 1:377g BW dat rechtstreeks door residentieel verblijvende minderjarigen is geïnitieerd.</w:t>
      </w:r>
    </w:p>
    <w:p>
      <w:pPr>
        <w:pStyle w:val="ListNumber"/>
        <w:widowControl/>
        <w:spacing w:after="60"/>
      </w:pPr>
      <w:r>
        <w:rPr>
          <w:rFonts w:ascii="Aptos" w:hAnsi="Aptos"/>
          <w:b w:val="0"/>
          <w:i w:val="0"/>
          <w:sz w:val="21"/>
        </w:rPr>
        <w:t>Rechtspraak/CBM: aantal aanvragen mentorschap/curatele voor 17-jarigen vanuit een voogd/zorginstelling en de uiteindelijke uitkomst.</w:t>
      </w:r>
    </w:p>
    <w:p>
      <w:pPr>
        <w:keepLines w:val="0"/>
        <w:widowControl/>
        <w:spacing w:after="240" w:line="259" w:lineRule="auto"/>
      </w:pPr>
      <w:r>
        <w:rPr>
          <w:rFonts w:ascii="Aptos" w:hAnsi="Aptos"/>
          <w:b w:val="0"/>
          <w:i w:val="0"/>
          <w:sz w:val="21"/>
        </w:rPr>
        <w:t>Juist die cijfers maken het mogelijk om van “dit voelt als een gesloten systeem” naar een empirisch toetsbare uitspraak te gaan.</w:t>
      </w:r>
    </w:p>
    <w:p>
      <w:pPr>
        <w:pStyle w:val="Heading1"/>
        <w:keepLines w:val="0"/>
        <w:widowControl/>
        <w:spacing w:after="120" w:line="259" w:lineRule="auto"/>
      </w:pPr>
      <w:r>
        <w:rPr>
          <w:rFonts w:ascii="Aptos" w:hAnsi="Aptos"/>
          <w:b/>
          <w:i w:val="0"/>
          <w:sz w:val="32"/>
        </w:rPr>
        <w:t>Voorlopige conclusie v0.1</w:t>
      </w:r>
    </w:p>
    <w:p>
      <w:pPr>
        <w:keepLines w:val="0"/>
        <w:widowControl/>
        <w:spacing w:after="120" w:line="259" w:lineRule="auto"/>
      </w:pPr>
      <w:r>
        <w:rPr>
          <w:rFonts w:ascii="Aptos" w:hAnsi="Aptos"/>
          <w:b w:val="0"/>
          <w:i w:val="0"/>
          <w:sz w:val="21"/>
        </w:rPr>
        <w:t>De beschikbare bronnen rechtvaardigen nog niet de conclusie dat residentiële jeugdzorg “de beste plek voor psychopaten” is.</w:t>
      </w:r>
    </w:p>
    <w:p>
      <w:pPr>
        <w:keepLines w:val="0"/>
        <w:widowControl/>
        <w:spacing w:after="100" w:line="259" w:lineRule="auto"/>
      </w:pPr>
      <w:r>
        <w:rPr>
          <w:rFonts w:ascii="Aptos" w:hAnsi="Aptos"/>
          <w:b w:val="0"/>
          <w:i w:val="0"/>
          <w:sz w:val="21"/>
        </w:rPr>
        <w:t>Ze rechtvaardigen inmiddels wél een veel preciezere en wetenschappelijk interessantere verdenking:</w:t>
      </w:r>
    </w:p>
    <w:tbl>
      <w:tblPr>
        <w:tblW w:type="auto" w:w="0"/>
        <w:tblLayout w:type="fixed"/>
        <w:tblLook w:firstColumn="1" w:firstRow="1" w:lastColumn="0" w:lastRow="0" w:noHBand="0" w:noVBand="1" w:val="04A0"/>
      </w:tblPr>
      <w:tblGrid>
        <w:gridCol w:w="9418"/>
      </w:tblGrid>
      <w:tr>
        <w:trPr>
          <w:cantSplit/>
        </w:trPr>
        <w:tc>
          <w:tcPr>
            <w:tcW w:type="dxa" w:w="9000"/>
            <w:shd w:fill="F7F9FB"/>
            <w:tcBorders>
              <w:left w:val="single" w:sz="18" w:space="0" w:color="17365D"/>
            </w:tcBorders>
            <w:tcMar>
              <w:top w:w="130" w:type="dxa"/>
              <w:start w:w="180" w:type="dxa"/>
              <w:bottom w:w="130" w:type="dxa"/>
              <w:end w:w="160" w:type="dxa"/>
            </w:tcMar>
          </w:tcPr>
          <w:p>
            <w:pPr>
              <w:spacing w:after="0"/>
            </w:pPr>
            <w:r>
              <w:rPr>
                <w:rFonts w:ascii="Aptos" w:hAnsi="Aptos"/>
                <w:i/>
                <w:color w:val="17365D"/>
                <w:sz w:val="22"/>
              </w:rPr>
              <w:t>Residentiële jeugdhulp kan een verhoogde opportunity structure voor machtsmisbruik vormen wanneer kwetsbaarheid leidt tot beperking van autonomie en externe communicatie, terwijl effectieve toegang tot advocaat, klacht, tuchtrecht, onafhankelijke vertrouwenspersoon en rechter onvoldoende praktisch is gewaarborgd.</w:t>
            </w:r>
          </w:p>
        </w:tc>
      </w:tr>
    </w:tbl>
    <w:p>
      <w:pPr>
        <w:widowControl/>
        <w:spacing w:after="0"/>
      </w:pPr>
    </w:p>
    <w:p>
      <w:pPr>
        <w:keepLines w:val="0"/>
        <w:widowControl/>
        <w:spacing w:after="160" w:line="259" w:lineRule="auto"/>
      </w:pPr>
      <w:r>
        <w:rPr>
          <w:rFonts w:ascii="Aptos" w:hAnsi="Aptos"/>
          <w:b w:val="0"/>
          <w:i w:val="0"/>
          <w:sz w:val="21"/>
        </w:rPr>
        <w:t>En er zijn inmiddels officiële Nederlandse bevindingen die meerdere onderdelen van precies die opportunity structure aantonen.</w:t>
      </w:r>
    </w:p>
    <w:p>
      <w:pPr>
        <w:keepLines w:val="0"/>
        <w:widowControl/>
        <w:spacing w:after="0" w:line="259" w:lineRule="auto"/>
      </w:pPr>
      <w:r>
        <w:rPr>
          <w:rFonts w:ascii="Aptos" w:hAnsi="Aptos"/>
          <w:b/>
          <w:i w:val="0"/>
          <w:sz w:val="21"/>
        </w:rPr>
        <w:t>Dat is, naar mijn oordeel, het punt waarop dit onderwerp van polemiek naar een serieus CIV-CARE onderzoeksprogramma kan worden gebracht.</w:t>
      </w:r>
    </w:p>
    <w:sectPr w:rsidR="00FC693F" w:rsidRPr="0006063C" w:rsidSect="00034616">
      <w:pgSz w:w="12240" w:h="15840"/>
      <w:pgMar w:top="1253" w:right="1411" w:bottom="1138" w:left="141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
      <w:rPr>
        <w:rFonts w:ascii="Aptos" w:hAnsi="Aptos"/>
        <w:color w:val="666666"/>
        <w:sz w:val="15"/>
      </w:rPr>
      <w:t>Bestandsnaam: CIV-CARE_P001_2026-08-26_van_AG-aan_KV_Onderzoeksmatrix-ResidentieleJeugdzorg-Safeguarding.docx</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
      <w:rPr>
        <w:rFonts w:ascii="Aptos" w:hAnsi="Aptos"/>
        <w:b/>
        <w:color w:val="17365D"/>
        <w:sz w:val="17"/>
      </w:rPr>
      <w:t>CIV-CARE_P001 | Onderzoeksmatrix | versie 0.1</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222222"/>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ascii="Aptos" w:hAnsi="Aptos"/>
      <w:b/>
      <w:bCs/>
      <w:color w:val="17365D"/>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Aptos" w:hAnsi="Aptos"/>
      <w:b/>
      <w:bCs/>
      <w:color w:val="17365D"/>
      <w:sz w:val="26"/>
      <w:szCs w:val="26"/>
    </w:rPr>
  </w:style>
  <w:style w:type="paragraph" w:styleId="Heading3">
    <w:name w:val="heading 3"/>
    <w:basedOn w:val="Normal"/>
    <w:next w:val="Normal"/>
    <w:link w:val="Heading3Char"/>
    <w:uiPriority w:val="9"/>
    <w:unhideWhenUsed/>
    <w:qFormat/>
    <w:rsid w:val="00FC693F"/>
    <w:pPr>
      <w:keepNext/>
      <w:keepLines/>
      <w:spacing w:before="240" w:after="120"/>
      <w:outlineLvl w:val="2"/>
    </w:pPr>
    <w:rPr>
      <w:rFonts w:asciiTheme="majorHAnsi" w:eastAsiaTheme="majorEastAsia" w:hAnsiTheme="majorHAnsi" w:cstheme="majorBidi" w:ascii="Aptos" w:hAnsi="Aptos"/>
      <w:b/>
      <w:bCs/>
      <w:color w:val="17365D"/>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120" w:line="240" w:lineRule="auto" w:before="0"/>
      <w:contextualSpacing/>
    </w:pPr>
    <w:rPr>
      <w:rFonts w:asciiTheme="majorHAnsi" w:eastAsiaTheme="majorEastAsia" w:hAnsiTheme="majorHAnsi" w:cstheme="majorBidi" w:ascii="Aptos" w:hAnsi="Aptos"/>
      <w:b w:val="0"/>
      <w:color w:val="17365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Aptos" w:hAnsi="Aptos"/>
      <w:sz w:val="21"/>
    </w:rPr>
  </w:style>
  <w:style w:type="paragraph" w:styleId="ListBullet2">
    <w:name w:val="List Bullet 2"/>
    <w:basedOn w:val="Normal"/>
    <w:uiPriority w:val="99"/>
    <w:unhideWhenUsed/>
    <w:rsid w:val="00326F90"/>
    <w:pPr>
      <w:numPr>
        <w:numId w:val="2"/>
      </w:numPr>
      <w:contextualSpacing/>
    </w:pPr>
    <w:rPr>
      <w:rFonts w:ascii="Aptos" w:hAnsi="Aptos"/>
      <w:sz w:val="21"/>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Aptos" w:hAnsi="Aptos"/>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cbs.nl/nl-nl/longread/rapportages/2026/jeugdhulp-2025/1-jongeren-met-jeugdhulp?utm_source=chatgpt.com" TargetMode="External"/><Relationship Id="rId12" Type="http://schemas.openxmlformats.org/officeDocument/2006/relationships/hyperlink" Target="https://www.richtlijnenjeugdhulp.nl/uithuisplaatsing-en-terugplaatsing/beslissen-over-uithuisplaatsing-en-terugplaatsing/samen-met?utm_source=chatgpt.com" TargetMode="External"/><Relationship Id="rId13" Type="http://schemas.openxmlformats.org/officeDocument/2006/relationships/hyperlink" Target="https://www.igj.nl/documenten/2026/06/04/jongeren-voelen-zich-onvoldoende-gehoord-en-te-weinig-betrokken?utm_source=chatgpt.com" TargetMode="External"/><Relationship Id="rId14" Type="http://schemas.openxmlformats.org/officeDocument/2006/relationships/hyperlink" Target="https://www.richtlijnenjeugdhulp.nl/samen-beslissen-over-hulp/volledig?utm_source=chatgpt.com" TargetMode="External"/><Relationship Id="rId15" Type="http://schemas.openxmlformats.org/officeDocument/2006/relationships/hyperlink" Target="https://www.kinderombudsman.nl/ouders/publicaties/je-bent-maar-een-kind-je-durft-gewoon-niet?utm_source=chatgpt.com" TargetMode="External"/><Relationship Id="rId16" Type="http://schemas.openxmlformats.org/officeDocument/2006/relationships/hyperlink" Target="https://wetten.overheid.nl/jci1.3%3Ac%3ABWBR0034925%26g%3D2024-01-01%26z%3D2026-02-12?utm_source=chatgpt.com" TargetMode="External"/><Relationship Id="rId17" Type="http://schemas.openxmlformats.org/officeDocument/2006/relationships/hyperlink" Target="https://www.igj.nl/documenten/2025/06/12/toepassing-gedwongen-zorg-gebeurt-nog-niet-zorgvuldig?utm_source=chatgpt.com" TargetMode="External"/><Relationship Id="rId18" Type="http://schemas.openxmlformats.org/officeDocument/2006/relationships/hyperlink" Target="https://www.rechtspraak.nl/binaries/_rts_1769097255657/content/assets/uit/lov/pr/2024/lov-pr-2024-familie-jeugdrecht-rechtbanken.pdf?utm_source=chatgpt.com" TargetMode="External"/><Relationship Id="rId19" Type="http://schemas.openxmlformats.org/officeDocument/2006/relationships/hyperlink" Target="https://www.rechtspraak.nl/SiteCollectionDocuments/Publicatie%20Reflectietraject%20Familie%20Jeugd.pdf?utm_source=chatgpt.com" TargetMode="External"/><Relationship Id="rId20" Type="http://schemas.openxmlformats.org/officeDocument/2006/relationships/hyperlink" Target="https://wetten.overheid.nl/jci1.3%3Ac%3ABWBR0002656%26g%3D2008-01-01%26z%3D2025-11-21?utm_source=chatgpt.com" TargetMode="External"/><Relationship Id="rId21" Type="http://schemas.openxmlformats.org/officeDocument/2006/relationships/hyperlink" Target="https://jeugdstem.nl/over-jeugdstem?utm_source=chatgpt.com" TargetMode="External"/><Relationship Id="rId22" Type="http://schemas.openxmlformats.org/officeDocument/2006/relationships/hyperlink" Target="https://tuchtrecht.skjeugd.nl/tuchtrecht/klachten/een-klacht-indienen/?utm_source=chatgpt.com" TargetMode="External"/><Relationship Id="rId23" Type="http://schemas.openxmlformats.org/officeDocument/2006/relationships/hyperlink" Target="https://skjeugd.nl/wp-content/uploads/SKJ-jaarverslag-2024.pdf?utm_source=chatgpt.com" TargetMode="External"/><Relationship Id="rId24" Type="http://schemas.openxmlformats.org/officeDocument/2006/relationships/hyperlink" Target="https://jeugdstem.nl/storage/uploads/f979446/files/Jaarverslag%202025%20definitief.pdf?utm_source=chatgpt.com" TargetMode="External"/><Relationship Id="rId25" Type="http://schemas.openxmlformats.org/officeDocument/2006/relationships/hyperlink" Target="https://jeugdstem.nl/over-jeugdstem/nieuws/jeugdstem-jaarverslag-2025?utm_source=chatgpt.com" TargetMode="External"/><Relationship Id="rId26" Type="http://schemas.openxmlformats.org/officeDocument/2006/relationships/hyperlink" Target="https://www.rijksoverheid.nl/themas/familie-zorg-en-gezondheid/jeugdhulp/kwaliteit-jeugdhulp?utm_source=chatgpt.com" TargetMode="External"/><Relationship Id="rId27" Type="http://schemas.openxmlformats.org/officeDocument/2006/relationships/hyperlink" Target="https://www.rijksoverheid.nl/actueel/nieuws/2019/06/12/eindrapport-commissie-onderzoek---de-winter-kinderen-werden-vanaf-1945-in-de-jeugdzorg-onvoldoende-beschermd-tegen-geweld?utm_source=chatgpt.com" TargetMode="External"/><Relationship Id="rId28" Type="http://schemas.openxmlformats.org/officeDocument/2006/relationships/hyperlink" Target="https://www.igj.nl/actueel/nieuws/2025/06/17/inspecties-jeugdbescherming-en-jeugdreclassering-bij-william-schrikker-stichting-grotendeels-onvoldoende?utm_source=chatgpt.com" TargetMode="External"/><Relationship Id="rId29" Type="http://schemas.openxmlformats.org/officeDocument/2006/relationships/hyperlink" Target="https://www.rijksoverheid.nl/vraag-en-antwoord/ouderlijk-gezag/wanneer-eindigt-mijn-voogdij-over-een-kind?utm_source=chatgpt.com" TargetMode="External"/><Relationship Id="rId30" Type="http://schemas.openxmlformats.org/officeDocument/2006/relationships/hyperlink" Target="https://www.rijksoverheid.nl/vraag-en-antwoord/curatele-bewind-en-mentorschap/verschillen-curatele-beschermingsbewind-en-mentorschap?utm_source=chatgpt.com" TargetMode="External"/><Relationship Id="rId31" Type="http://schemas.openxmlformats.org/officeDocument/2006/relationships/hyperlink" Target="https://www.rechtspraak.nl/onderwerpen/mentorschap/procedure-mentorschap-aanvragen?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CIV-CARE P001 - Onderzoeksmatrix: Residentiele jeugdzorg als safeguarding-omgeving</dc:title>
  <dc:subject>Safeguarding, rechtsbescherming, autonomie en institutionele tegenmacht in residentiele jeugdzorg</dc:subject>
  <dc:creator>Alexander Groenheide | Stichting De Kamer van Sociale Waarden</dc:creator>
  <cp:keywords>CIV-CARE_P001, jeugdzorg, safeguarding, autonomie, rechtsbescherming, residentiele jeugdhulp, tuchtrecht</cp:keywords>
  <dc:description>Versie 0.1 - 26 augustus 2026</dc:description>
  <cp:lastModifiedBy/>
  <cp:revision>1</cp:revision>
  <dcterms:created xsi:type="dcterms:W3CDTF">2013-12-23T23:15:00Z</dcterms:created>
  <dcterms:modified xsi:type="dcterms:W3CDTF">2013-12-23T23:15:00Z</dcterms:modified>
  <cp:category/>
</cp:coreProperties>
</file>