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jc w:val="center"/>
      </w:pPr>
      <w:r>
        <w:rPr>
          <w:rFonts w:ascii="Aptos" w:hAnsi="Aptos"/>
          <w:b/>
          <w:i w:val="0"/>
          <w:color w:val="103F73"/>
          <w:sz w:val="24"/>
        </w:rPr>
        <w:t>CIV-CARE_P100_SDM005</w:t>
      </w:r>
    </w:p>
    <w:p>
      <w:pPr>
        <w:spacing w:after="0"/>
        <w:jc w:val="center"/>
      </w:pPr>
      <w:r>
        <w:rPr>
          <w:rFonts w:ascii="Aptos" w:hAnsi="Aptos"/>
          <w:b/>
          <w:i w:val="0"/>
          <w:color w:val="103F73"/>
          <w:sz w:val="36"/>
        </w:rPr>
        <w:t>Position Paper V</w:t>
      </w:r>
    </w:p>
    <w:p>
      <w:pPr>
        <w:spacing w:after="0"/>
        <w:jc w:val="center"/>
      </w:pPr>
      <w:r>
        <w:rPr>
          <w:rFonts w:ascii="Aptos" w:hAnsi="Aptos"/>
          <w:b w:val="0"/>
          <w:i/>
          <w:color w:val="103F73"/>
          <w:sz w:val="22"/>
        </w:rPr>
        <w:t>Transitiemodel 16–23 jaar</w:t>
      </w:r>
    </w:p>
    <w:p/>
    <w:tbl>
      <w:tblPr>
        <w:tblW w:type="auto" w:w="0"/>
        <w:jc w:val="center"/>
        <w:tblLayout w:type="fixed"/>
        <w:tblLook w:firstColumn="1" w:firstRow="1" w:lastColumn="0" w:lastRow="0" w:noHBand="0" w:noVBand="1" w:val="04A0"/>
      </w:tblPr>
      <w:tblGrid>
        <w:gridCol w:w="4816"/>
        <w:gridCol w:w="4816"/>
      </w:tblGrid>
      <w:tr>
        <w:tc>
          <w:tcPr>
            <w:tcW w:type="dxa" w:w="2041"/>
            <w:vAlign w:val="center"/>
            <w:shd w:fill="EEF3F9"/>
          </w:tcPr>
          <w:p>
            <w:pPr>
              <w:spacing w:after="40" w:before="40"/>
            </w:pPr>
            <w:r>
              <w:rPr>
                <w:rFonts w:ascii="Aptos" w:hAnsi="Aptos"/>
                <w:b/>
                <w:color w:val="103F73"/>
                <w:sz w:val="19"/>
              </w:rPr>
              <w:t>Datum</w:t>
            </w:r>
          </w:p>
        </w:tc>
        <w:tc>
          <w:tcPr>
            <w:tcW w:type="dxa" w:w="6576"/>
            <w:vAlign w:val="center"/>
            <w:shd w:fill="F8FAFD"/>
          </w:tcPr>
          <w:p>
            <w:pPr>
              <w:spacing w:after="40" w:before="40"/>
            </w:pPr>
            <w:r>
              <w:rPr>
                <w:rFonts w:ascii="Aptos" w:hAnsi="Aptos"/>
                <w:sz w:val="19"/>
              </w:rPr>
              <w:t>2026-04-21</w:t>
            </w:r>
          </w:p>
        </w:tc>
      </w:tr>
      <w:tr>
        <w:tc>
          <w:tcPr>
            <w:tcW w:type="dxa" w:w="2041"/>
            <w:vAlign w:val="center"/>
          </w:tcPr>
          <w:p>
            <w:pPr>
              <w:spacing w:after="40" w:before="40"/>
            </w:pPr>
            <w:r>
              <w:rPr>
                <w:rFonts w:ascii="Aptos" w:hAnsi="Aptos"/>
                <w:b/>
                <w:color w:val="103F73"/>
                <w:sz w:val="19"/>
              </w:rPr>
              <w:t>Versie</w:t>
            </w:r>
          </w:p>
        </w:tc>
        <w:tc>
          <w:tcPr>
            <w:tcW w:type="dxa" w:w="6576"/>
            <w:vAlign w:val="center"/>
          </w:tcPr>
          <w:p>
            <w:pPr>
              <w:spacing w:after="40" w:before="40"/>
            </w:pPr>
            <w:r>
              <w:rPr>
                <w:rFonts w:ascii="Aptos" w:hAnsi="Aptos"/>
                <w:sz w:val="19"/>
              </w:rPr>
              <w:t>v1.0</w:t>
            </w:r>
          </w:p>
        </w:tc>
      </w:tr>
      <w:tr>
        <w:tc>
          <w:tcPr>
            <w:tcW w:type="dxa" w:w="2041"/>
            <w:vAlign w:val="center"/>
            <w:shd w:fill="EEF3F9"/>
          </w:tcPr>
          <w:p>
            <w:pPr>
              <w:spacing w:after="40" w:before="40"/>
            </w:pPr>
            <w:r>
              <w:rPr>
                <w:rFonts w:ascii="Aptos" w:hAnsi="Aptos"/>
                <w:b/>
                <w:color w:val="103F73"/>
                <w:sz w:val="19"/>
              </w:rPr>
              <w:t>Relevantie</w:t>
            </w:r>
          </w:p>
        </w:tc>
        <w:tc>
          <w:tcPr>
            <w:tcW w:type="dxa" w:w="6576"/>
            <w:vAlign w:val="center"/>
            <w:shd w:fill="F8FAFD"/>
          </w:tcPr>
          <w:p>
            <w:pPr>
              <w:spacing w:after="40" w:before="40"/>
            </w:pPr>
            <w:r>
              <w:rPr>
                <w:rFonts w:ascii="Aptos" w:hAnsi="Aptos"/>
                <w:sz w:val="19"/>
              </w:rPr>
              <w:t>Integrale slotnotitie voor implementatie van een SDM+ kader over de jeugd-volwassen breuk heen</w:t>
            </w:r>
          </w:p>
        </w:tc>
      </w:tr>
      <w:tr>
        <w:tc>
          <w:tcPr>
            <w:tcW w:type="dxa" w:w="2041"/>
            <w:vAlign w:val="center"/>
          </w:tcPr>
          <w:p>
            <w:pPr>
              <w:spacing w:after="40" w:before="40"/>
            </w:pPr>
            <w:r>
              <w:rPr>
                <w:rFonts w:ascii="Aptos" w:hAnsi="Aptos"/>
                <w:b/>
                <w:color w:val="103F73"/>
                <w:sz w:val="19"/>
              </w:rPr>
              <w:t>Doel</w:t>
            </w:r>
          </w:p>
        </w:tc>
        <w:tc>
          <w:tcPr>
            <w:tcW w:type="dxa" w:w="6576"/>
            <w:vAlign w:val="center"/>
          </w:tcPr>
          <w:p>
            <w:pPr>
              <w:spacing w:after="40" w:before="40"/>
            </w:pPr>
            <w:r>
              <w:rPr>
                <w:rFonts w:ascii="Aptos" w:hAnsi="Aptos"/>
                <w:sz w:val="19"/>
              </w:rPr>
              <w:t>Samenbrengen van probleemanalyse, SDM, juridische verankering en handhaving in één uitvoerbaar transitiekader</w:t>
            </w:r>
          </w:p>
        </w:tc>
      </w:tr>
      <w:tr>
        <w:tc>
          <w:tcPr>
            <w:tcW w:type="dxa" w:w="2041"/>
            <w:vAlign w:val="center"/>
            <w:shd w:fill="EEF3F9"/>
          </w:tcPr>
          <w:p>
            <w:pPr>
              <w:spacing w:after="40" w:before="40"/>
            </w:pPr>
            <w:r>
              <w:rPr>
                <w:rFonts w:ascii="Aptos" w:hAnsi="Aptos"/>
                <w:b/>
                <w:color w:val="103F73"/>
                <w:sz w:val="19"/>
              </w:rPr>
              <w:t>Categorie</w:t>
            </w:r>
          </w:p>
        </w:tc>
        <w:tc>
          <w:tcPr>
            <w:tcW w:type="dxa" w:w="6576"/>
            <w:vAlign w:val="center"/>
            <w:shd w:fill="F8FAFD"/>
          </w:tcPr>
          <w:p>
            <w:pPr>
              <w:spacing w:after="40" w:before="40"/>
            </w:pPr>
            <w:r>
              <w:rPr>
                <w:rFonts w:ascii="Aptos" w:hAnsi="Aptos"/>
                <w:sz w:val="19"/>
              </w:rPr>
              <w:t>Position Paper / SDM-serie</w:t>
            </w:r>
          </w:p>
        </w:tc>
      </w:tr>
      <w:tr>
        <w:tc>
          <w:tcPr>
            <w:tcW w:type="dxa" w:w="2041"/>
            <w:vAlign w:val="center"/>
          </w:tcPr>
          <w:p>
            <w:pPr>
              <w:spacing w:after="40" w:before="40"/>
            </w:pPr>
            <w:r>
              <w:rPr>
                <w:rFonts w:ascii="Aptos" w:hAnsi="Aptos"/>
                <w:b/>
                <w:color w:val="103F73"/>
                <w:sz w:val="19"/>
              </w:rPr>
              <w:t>Bestandsnaam</w:t>
            </w:r>
          </w:p>
        </w:tc>
        <w:tc>
          <w:tcPr>
            <w:tcW w:type="dxa" w:w="6576"/>
            <w:vAlign w:val="center"/>
          </w:tcPr>
          <w:p>
            <w:pPr>
              <w:spacing w:after="40" w:before="40"/>
            </w:pPr>
            <w:r>
              <w:rPr>
                <w:rFonts w:ascii="Aptos" w:hAnsi="Aptos"/>
                <w:sz w:val="19"/>
              </w:rPr>
              <w:t>CIV-CARE_P100_2026-04-21_positionpaper_van_AG_aan_CC_transitiemodel-16-23-sdm-plus_v1.0.docx</w:t>
            </w:r>
          </w:p>
        </w:tc>
      </w:tr>
    </w:tbl>
    <w:p/>
    <w:p>
      <w:pPr>
        <w:pBdr>
          <w:bottom w:val="single" w:sz="8" w:space="1" w:color="5A7CA0"/>
        </w:pBdr>
      </w:pPr>
    </w:p>
    <w:p>
      <w:pPr>
        <w:pStyle w:val="Heading1"/>
      </w:pPr>
      <w:r>
        <w:t>Executive Summary</w:t>
      </w:r>
    </w:p>
    <w:p>
      <w:pPr>
        <w:spacing w:line="264" w:lineRule="auto"/>
      </w:pPr>
      <w:r>
        <w:t>Dit vijfde position paper integreert de gehele reeks in een uitvoerbaar SDM+ transitiemodel voor de leeftijdszone 16–23 jaar. Het model combineert ontwikkelautonomie, netwerkpositionering, rechtsbescherming, zorgcontinuïteit en gefaseerde besluitvorming. Daarmee ontstaat een alternatief voor zowel abrupt loslaten als verlengde institutionele afhankelijkheid.</w:t>
      </w:r>
    </w:p>
    <w:p>
      <w:pPr>
        <w:pStyle w:val="Heading1"/>
      </w:pPr>
      <w:r>
        <w:t>1. Wijzigingsoverzicht</w:t>
      </w:r>
    </w:p>
    <w:p>
      <w:pPr>
        <w:pStyle w:val="ListBullet"/>
        <w:spacing w:after="40"/>
      </w:pPr>
      <w:r>
        <w:rPr>
          <w:rFonts w:ascii="Aptos" w:hAnsi="Aptos"/>
          <w:sz w:val="21"/>
        </w:rPr>
        <w:t>Versie v1.0 – eerste publicatie van dit position paper binnen de SDM-serie.</w:t>
      </w:r>
    </w:p>
    <w:p>
      <w:pPr>
        <w:pStyle w:val="ListBullet"/>
        <w:spacing w:after="40"/>
      </w:pPr>
      <w:r>
        <w:rPr>
          <w:rFonts w:ascii="Aptos" w:hAnsi="Aptos"/>
          <w:sz w:val="21"/>
        </w:rPr>
        <w:t>Aanleiding: uitwerken van een normatief, juridisch en operationeel kader om de kloof tussen jeugd- en volwassenzorg te dichten via Supported Decision Making en een breder transitieraamwerk.</w:t>
      </w:r>
    </w:p>
    <w:p>
      <w:pPr>
        <w:pStyle w:val="ListBullet"/>
        <w:spacing w:after="40"/>
      </w:pPr>
      <w:r>
        <w:rPr>
          <w:rFonts w:ascii="Aptos" w:hAnsi="Aptos"/>
          <w:sz w:val="21"/>
        </w:rPr>
        <w:t>Deze versie vormt een kerndocument voor verdere beleidsontwikkeling, processtrategie, participatieplatform-inbreng en governance-herijking.</w:t>
      </w:r>
    </w:p>
    <w:p>
      <w:pPr>
        <w:pStyle w:val="Heading1"/>
      </w:pPr>
      <w:r>
        <w:t>2. Doel van het model</w:t>
      </w:r>
    </w:p>
    <w:p>
      <w:pPr>
        <w:spacing w:after="100" w:line="269" w:lineRule="auto"/>
      </w:pPr>
      <w:r>
        <w:t>Het transitiemodel wil voorkomen dat jongeren bij achttien jaar in een bestuurlijke en relationele afgrond terechtkomen. Het model beoogt een geleidelijke verschuiving van institutionele sturing naar ondersteunde zelfregie, met zichtbare rechten, toetsbare keuzes en netwerkversterking.</w:t>
      </w:r>
    </w:p>
    <w:p>
      <w:pPr>
        <w:spacing w:after="100" w:line="269" w:lineRule="auto"/>
      </w:pPr>
      <w:r>
        <w:t>De doelgroep omvat met name jongeren met complexe zorggeschiedenis, ASS-profielen, hechtingskwetsbaarheid, stressdysregulatie, woonvraagstukken, GI-achtergrond of verhoogd risico op institutionele verlenging.</w:t>
      </w:r>
    </w:p>
    <w:p>
      <w:pPr>
        <w:pStyle w:val="Heading1"/>
      </w:pPr>
      <w:r>
        <w:t>3. Vier bouwstenen van SDM+</w:t>
      </w:r>
    </w:p>
    <w:p>
      <w:pPr>
        <w:spacing w:after="100" w:line="269" w:lineRule="auto"/>
      </w:pPr>
      <w:r>
        <w:t>Bouwsteen 1: ontwikkelautonomie. De jongere oefent stapsgewijs met keuzes over wonen, zorg, onderwijs, financiën en netwerkrelaties.</w:t>
      </w:r>
    </w:p>
    <w:p>
      <w:pPr>
        <w:spacing w:after="100" w:line="269" w:lineRule="auto"/>
      </w:pPr>
      <w:r>
        <w:t>Bouwsteen 2: netwerkpositionering. Steunfiguren worden expliciet en toetsbaar betrokken, zonder de stem van de jongere te vervangen.</w:t>
      </w:r>
    </w:p>
    <w:p>
      <w:pPr>
        <w:spacing w:after="100" w:line="269" w:lineRule="auto"/>
      </w:pPr>
      <w:r>
        <w:t>Bouwsteen 3: juridische borging. Participatie, motivering en keuzevorming worden vastgelegd op een wijze die procesrechtelijk en toezichtmatig bruikbaar is.</w:t>
      </w:r>
    </w:p>
    <w:p>
      <w:pPr>
        <w:spacing w:after="100" w:line="269" w:lineRule="auto"/>
      </w:pPr>
      <w:r>
        <w:t>Bouwsteen 4: handhaving en herijking. Wanneer instellingen blokkeren, moet het model kunnen opschalen naar klacht, toezicht, rechter of governance-route.</w:t>
      </w:r>
    </w:p>
    <w:p>
      <w:pPr>
        <w:pStyle w:val="Heading1"/>
      </w:pPr>
      <w:r>
        <w:t>4. Leeftijdsfasering 16–23</w:t>
      </w:r>
    </w:p>
    <w:p>
      <w:pPr>
        <w:spacing w:after="100" w:line="269" w:lineRule="auto"/>
      </w:pPr>
      <w:r>
        <w:t>Fase 16–17: voorbereiding. Start SDM-profiel, kaart steunfiguren en risicosignalen, organiseer begrijpelijke informatie en micro-besluitvorming.</w:t>
      </w:r>
    </w:p>
    <w:p>
      <w:pPr>
        <w:spacing w:after="100" w:line="269" w:lineRule="auto"/>
      </w:pPr>
      <w:r>
        <w:t>Fase 17–18: intensieve overgang. Stel een transitiedossier op, toets institutionele blokkades, verhelder woon- en zorgopties en borg rechtspositie van de jongere.</w:t>
      </w:r>
    </w:p>
    <w:p>
      <w:pPr>
        <w:spacing w:after="100" w:line="269" w:lineRule="auto"/>
      </w:pPr>
      <w:r>
        <w:t>Fase 18–21: begeleide zelfregie. Beslissingen worden primair door de jongere genomen met zichtbaar ondersteuningskader.</w:t>
      </w:r>
    </w:p>
    <w:p>
      <w:pPr>
        <w:spacing w:after="100" w:line="269" w:lineRule="auto"/>
      </w:pPr>
      <w:r>
        <w:t>Fase 21–23: consolidatie. Ondersteuning wordt afgeschaald of verdiept op basis van behoefte, zonder terugval in onzichtbare institutionele afhankelijkheid.</w:t>
      </w:r>
    </w:p>
    <w:p>
      <w:pPr>
        <w:pStyle w:val="Heading1"/>
      </w:pPr>
      <w:r>
        <w:t>5. Beslisarchitectuur</w:t>
      </w:r>
    </w:p>
    <w:p>
      <w:pPr>
        <w:spacing w:after="100" w:line="269" w:lineRule="auto"/>
      </w:pPr>
      <w:r>
        <w:t>Het model werkt met drie niveaus van beslissingen: micro-beslissingen (dagelijkse keuzes), meso-beslissingen (wonen, onderwijs, zorginrichting) en macro-beslissingen (juridische structuur, langdurige woonvorm, financieel beschermingskader). Voor elk niveau wordt vastgelegd welke ondersteuning passend is.</w:t>
      </w:r>
    </w:p>
    <w:p>
      <w:pPr>
        <w:spacing w:after="100" w:line="269" w:lineRule="auto"/>
      </w:pPr>
      <w:r>
        <w:t>Zo wordt voorkomen dat alle keuzes op hetzelfde abstractieniveau worden behandeld en de jongere óf wordt overvraagd óf buitengesloten.</w:t>
      </w:r>
    </w:p>
    <w:p>
      <w:pPr>
        <w:pStyle w:val="Heading1"/>
      </w:pPr>
      <w:r>
        <w:t>6. Implementatievoorstel voor CIV-CARE</w:t>
      </w:r>
    </w:p>
    <w:p>
      <w:pPr>
        <w:spacing w:after="100" w:line="269" w:lineRule="auto"/>
      </w:pPr>
      <w:r>
        <w:t>Ontwikkel een SDM+ toolkit bestaande uit: intakevragen, beslisprofiel, steunfigurenkaart, transitietijdlijn, handhavingschecklist en modelbrieven. Koppel deze toolkit aan HPP003/P001 zodat triage, herstel en juridisering in één raamwerk samenwerken.</w:t>
      </w:r>
    </w:p>
    <w:p>
      <w:pPr>
        <w:spacing w:after="100" w:line="269" w:lineRule="auto"/>
      </w:pPr>
      <w:r>
        <w:t>Publiceer de reeks als normatieve CIV-CARE-serie en gebruik deze als basis voor participatieplatform, beleidsgesprekken, pilots en dossierinterventies.</w:t>
      </w:r>
    </w:p>
    <w:p>
      <w:pPr>
        <w:pStyle w:val="Heading1"/>
      </w:pPr>
      <w:r>
        <w:t>7. Eindconclusie</w:t>
      </w:r>
    </w:p>
    <w:p>
      <w:pPr>
        <w:spacing w:after="100" w:line="269" w:lineRule="auto"/>
      </w:pPr>
      <w:r>
        <w:t>De kloof tussen jeugd- en volwassenzorg wordt niet gedicht door één extra voorziening, maar door een geïntegreerd model van ondersteunde besluitvorming, juridische verankering, netwerkpositionering en handhaving.</w:t>
      </w:r>
    </w:p>
    <w:p>
      <w:pPr>
        <w:spacing w:after="100" w:line="269" w:lineRule="auto"/>
      </w:pPr>
      <w:r>
        <w:t>Met SDM+ ontstaat een alternatief dat zowel menswaardig als bestuurbaar is: niet abrupt loslaten, niet institutioneel blijven vasthouden, maar gefaseerd toewerken naar rechtsgeldige, gedragen en ontwikkelingsveilige volwassen autonomie.</w:t>
      </w:r>
    </w:p>
    <w:p>
      <w:pPr>
        <w:pStyle w:val="Heading1"/>
      </w:pPr>
      <w:r>
        <w:t>8. Aanbevolen vervolgstappen</w:t>
      </w:r>
    </w:p>
    <w:p>
      <w:pPr>
        <w:pStyle w:val="ListBullet"/>
        <w:spacing w:after="40"/>
      </w:pPr>
      <w:r>
        <w:rPr>
          <w:rFonts w:ascii="Aptos" w:hAnsi="Aptos"/>
          <w:sz w:val="21"/>
        </w:rPr>
        <w:t>Gebruik dit paper als zelfstandig normatief document én als bouwsteen van de volledige SDM-serie.</w:t>
      </w:r>
    </w:p>
    <w:p>
      <w:pPr>
        <w:pStyle w:val="ListBullet"/>
        <w:spacing w:after="40"/>
      </w:pPr>
      <w:r>
        <w:rPr>
          <w:rFonts w:ascii="Aptos" w:hAnsi="Aptos"/>
          <w:sz w:val="21"/>
        </w:rPr>
        <w:t>Koppel de inhoud aan HPP003/P001 wanneer de overgang van jeugd naar volwassenzorg in een concreet dossier aan de orde is.</w:t>
      </w:r>
    </w:p>
    <w:p>
      <w:pPr>
        <w:pStyle w:val="ListBullet"/>
        <w:spacing w:after="40"/>
      </w:pPr>
      <w:r>
        <w:rPr>
          <w:rFonts w:ascii="Aptos" w:hAnsi="Aptos"/>
          <w:sz w:val="21"/>
        </w:rPr>
        <w:t>Werk, indien gewenst, de inhoud verder uit in modelbrieven, verzoekschriften, auditkaders en participatieplatform-inbreng.</w:t>
      </w:r>
    </w:p>
    <w:sectPr w:rsidR="00FC693F" w:rsidRPr="0006063C" w:rsidSect="00034616">
      <w:headerReference w:type="default" r:id="rId9"/>
      <w:footerReference w:type="default" r:id="rId10"/>
      <w:pgSz w:w="12240" w:h="15840"/>
      <w:pgMar w:top="1247" w:right="1247" w:bottom="1134"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sz w:val="16"/>
      </w:rPr>
      <w:t>CIV-CARE – ondersteunde besluitvorming, transitie en rechtsbescherming</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Aptos" w:hAnsi="Aptos"/>
        <w:color w:val="103F73"/>
        <w:sz w:val="16"/>
      </w:rPr>
      <w:t>CIV-CARE | SDM-serie | SDM005</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color w:val="212529"/>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80"/>
      <w:outlineLvl w:val="0"/>
    </w:pPr>
    <w:rPr>
      <w:rFonts w:asciiTheme="majorHAnsi" w:eastAsiaTheme="majorEastAsia" w:hAnsiTheme="majorHAnsi" w:cstheme="majorBidi" w:ascii="Aptos" w:hAnsi="Aptos"/>
      <w:b/>
      <w:bCs/>
      <w:color w:val="103F73"/>
      <w:sz w:val="2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103F73"/>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103F7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b/>
      <w:color w:val="103F73"/>
      <w:spacing w:val="5"/>
      <w:kern w:val="28"/>
      <w:sz w:val="3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i/>
      <w:iCs/>
      <w:color w:val="103F73"/>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