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0"/>
        <w:jc w:val="center"/>
      </w:pPr>
      <w:r>
        <w:rPr>
          <w:rFonts w:ascii="Aptos" w:hAnsi="Aptos"/>
          <w:b/>
          <w:i w:val="0"/>
          <w:color w:val="103F73"/>
          <w:sz w:val="24"/>
        </w:rPr>
        <w:t>CIV-CARE_P100_SDM004</w:t>
      </w:r>
    </w:p>
    <w:p>
      <w:pPr>
        <w:spacing w:after="0"/>
        <w:jc w:val="center"/>
      </w:pPr>
      <w:r>
        <w:rPr>
          <w:rFonts w:ascii="Aptos" w:hAnsi="Aptos"/>
          <w:b/>
          <w:i w:val="0"/>
          <w:color w:val="103F73"/>
          <w:sz w:val="36"/>
        </w:rPr>
        <w:t>Position Paper IV</w:t>
      </w:r>
    </w:p>
    <w:p>
      <w:pPr>
        <w:spacing w:after="0"/>
        <w:jc w:val="center"/>
      </w:pPr>
      <w:r>
        <w:rPr>
          <w:rFonts w:ascii="Aptos" w:hAnsi="Aptos"/>
          <w:b w:val="0"/>
          <w:i/>
          <w:color w:val="103F73"/>
          <w:sz w:val="22"/>
        </w:rPr>
        <w:t>Handhaving, rechtsbescherming en escalatie</w:t>
      </w:r>
    </w:p>
    <w:p/>
    <w:tbl>
      <w:tblPr>
        <w:tblW w:type="auto" w:w="0"/>
        <w:jc w:val="center"/>
        <w:tblLayout w:type="fixed"/>
        <w:tblLook w:firstColumn="1" w:firstRow="1" w:lastColumn="0" w:lastRow="0" w:noHBand="0" w:noVBand="1" w:val="04A0"/>
      </w:tblPr>
      <w:tblGrid>
        <w:gridCol w:w="4816"/>
        <w:gridCol w:w="4816"/>
      </w:tblGrid>
      <w:tr>
        <w:tc>
          <w:tcPr>
            <w:tcW w:type="dxa" w:w="2041"/>
            <w:vAlign w:val="center"/>
            <w:shd w:fill="EEF3F9"/>
          </w:tcPr>
          <w:p>
            <w:pPr>
              <w:spacing w:after="40" w:before="40"/>
            </w:pPr>
            <w:r>
              <w:rPr>
                <w:rFonts w:ascii="Aptos" w:hAnsi="Aptos"/>
                <w:b/>
                <w:color w:val="103F73"/>
                <w:sz w:val="19"/>
              </w:rPr>
              <w:t>Datum</w:t>
            </w:r>
          </w:p>
        </w:tc>
        <w:tc>
          <w:tcPr>
            <w:tcW w:type="dxa" w:w="6576"/>
            <w:vAlign w:val="center"/>
            <w:shd w:fill="F8FAFD"/>
          </w:tcPr>
          <w:p>
            <w:pPr>
              <w:spacing w:after="40" w:before="40"/>
            </w:pPr>
            <w:r>
              <w:rPr>
                <w:rFonts w:ascii="Aptos" w:hAnsi="Aptos"/>
                <w:sz w:val="19"/>
              </w:rPr>
              <w:t>2026-04-21</w:t>
            </w:r>
          </w:p>
        </w:tc>
      </w:tr>
      <w:tr>
        <w:tc>
          <w:tcPr>
            <w:tcW w:type="dxa" w:w="2041"/>
            <w:vAlign w:val="center"/>
          </w:tcPr>
          <w:p>
            <w:pPr>
              <w:spacing w:after="40" w:before="40"/>
            </w:pPr>
            <w:r>
              <w:rPr>
                <w:rFonts w:ascii="Aptos" w:hAnsi="Aptos"/>
                <w:b/>
                <w:color w:val="103F73"/>
                <w:sz w:val="19"/>
              </w:rPr>
              <w:t>Versie</w:t>
            </w:r>
          </w:p>
        </w:tc>
        <w:tc>
          <w:tcPr>
            <w:tcW w:type="dxa" w:w="6576"/>
            <w:vAlign w:val="center"/>
          </w:tcPr>
          <w:p>
            <w:pPr>
              <w:spacing w:after="40" w:before="40"/>
            </w:pPr>
            <w:r>
              <w:rPr>
                <w:rFonts w:ascii="Aptos" w:hAnsi="Aptos"/>
                <w:sz w:val="19"/>
              </w:rPr>
              <w:t>v1.0</w:t>
            </w:r>
          </w:p>
        </w:tc>
      </w:tr>
      <w:tr>
        <w:tc>
          <w:tcPr>
            <w:tcW w:type="dxa" w:w="2041"/>
            <w:vAlign w:val="center"/>
            <w:shd w:fill="EEF3F9"/>
          </w:tcPr>
          <w:p>
            <w:pPr>
              <w:spacing w:after="40" w:before="40"/>
            </w:pPr>
            <w:r>
              <w:rPr>
                <w:rFonts w:ascii="Aptos" w:hAnsi="Aptos"/>
                <w:b/>
                <w:color w:val="103F73"/>
                <w:sz w:val="19"/>
              </w:rPr>
              <w:t>Relevantie</w:t>
            </w:r>
          </w:p>
        </w:tc>
        <w:tc>
          <w:tcPr>
            <w:tcW w:type="dxa" w:w="6576"/>
            <w:vAlign w:val="center"/>
            <w:shd w:fill="F8FAFD"/>
          </w:tcPr>
          <w:p>
            <w:pPr>
              <w:spacing w:after="40" w:before="40"/>
            </w:pPr>
            <w:r>
              <w:rPr>
                <w:rFonts w:ascii="Aptos" w:hAnsi="Aptos"/>
                <w:sz w:val="19"/>
              </w:rPr>
              <w:t>Escalatiekader voor zaken waarin participatie en ondersteunde besluitvorming feitelijk worden geblokkeerd</w:t>
            </w:r>
          </w:p>
        </w:tc>
      </w:tr>
      <w:tr>
        <w:tc>
          <w:tcPr>
            <w:tcW w:type="dxa" w:w="2041"/>
            <w:vAlign w:val="center"/>
          </w:tcPr>
          <w:p>
            <w:pPr>
              <w:spacing w:after="40" w:before="40"/>
            </w:pPr>
            <w:r>
              <w:rPr>
                <w:rFonts w:ascii="Aptos" w:hAnsi="Aptos"/>
                <w:b/>
                <w:color w:val="103F73"/>
                <w:sz w:val="19"/>
              </w:rPr>
              <w:t>Doel</w:t>
            </w:r>
          </w:p>
        </w:tc>
        <w:tc>
          <w:tcPr>
            <w:tcW w:type="dxa" w:w="6576"/>
            <w:vAlign w:val="center"/>
          </w:tcPr>
          <w:p>
            <w:pPr>
              <w:spacing w:after="40" w:before="40"/>
            </w:pPr>
            <w:r>
              <w:rPr>
                <w:rFonts w:ascii="Aptos" w:hAnsi="Aptos"/>
                <w:sz w:val="19"/>
              </w:rPr>
              <w:t>Uitwerken hoe SDM kan worden afgedwongen, bewaakt en getoetst als organisaties niet vrijwillig bewegen</w:t>
            </w:r>
          </w:p>
        </w:tc>
      </w:tr>
      <w:tr>
        <w:tc>
          <w:tcPr>
            <w:tcW w:type="dxa" w:w="2041"/>
            <w:vAlign w:val="center"/>
            <w:shd w:fill="EEF3F9"/>
          </w:tcPr>
          <w:p>
            <w:pPr>
              <w:spacing w:after="40" w:before="40"/>
            </w:pPr>
            <w:r>
              <w:rPr>
                <w:rFonts w:ascii="Aptos" w:hAnsi="Aptos"/>
                <w:b/>
                <w:color w:val="103F73"/>
                <w:sz w:val="19"/>
              </w:rPr>
              <w:t>Categorie</w:t>
            </w:r>
          </w:p>
        </w:tc>
        <w:tc>
          <w:tcPr>
            <w:tcW w:type="dxa" w:w="6576"/>
            <w:vAlign w:val="center"/>
            <w:shd w:fill="F8FAFD"/>
          </w:tcPr>
          <w:p>
            <w:pPr>
              <w:spacing w:after="40" w:before="40"/>
            </w:pPr>
            <w:r>
              <w:rPr>
                <w:rFonts w:ascii="Aptos" w:hAnsi="Aptos"/>
                <w:sz w:val="19"/>
              </w:rPr>
              <w:t>Position Paper / SDM-serie</w:t>
            </w:r>
          </w:p>
        </w:tc>
      </w:tr>
      <w:tr>
        <w:tc>
          <w:tcPr>
            <w:tcW w:type="dxa" w:w="2041"/>
            <w:vAlign w:val="center"/>
          </w:tcPr>
          <w:p>
            <w:pPr>
              <w:spacing w:after="40" w:before="40"/>
            </w:pPr>
            <w:r>
              <w:rPr>
                <w:rFonts w:ascii="Aptos" w:hAnsi="Aptos"/>
                <w:b/>
                <w:color w:val="103F73"/>
                <w:sz w:val="19"/>
              </w:rPr>
              <w:t>Bestandsnaam</w:t>
            </w:r>
          </w:p>
        </w:tc>
        <w:tc>
          <w:tcPr>
            <w:tcW w:type="dxa" w:w="6576"/>
            <w:vAlign w:val="center"/>
          </w:tcPr>
          <w:p>
            <w:pPr>
              <w:spacing w:after="40" w:before="40"/>
            </w:pPr>
            <w:r>
              <w:rPr>
                <w:rFonts w:ascii="Aptos" w:hAnsi="Aptos"/>
                <w:sz w:val="19"/>
              </w:rPr>
              <w:t>CIV-CARE_P100_2026-04-21_positionpaper_van_AG_aan_CC_handhaving-en-rechtsbescherming-bij-sdm_v1.0.docx</w:t>
            </w:r>
          </w:p>
        </w:tc>
      </w:tr>
    </w:tbl>
    <w:p/>
    <w:p>
      <w:pPr>
        <w:pBdr>
          <w:bottom w:val="single" w:sz="8" w:space="1" w:color="5A7CA0"/>
        </w:pBdr>
      </w:pPr>
    </w:p>
    <w:p>
      <w:pPr>
        <w:pStyle w:val="Heading1"/>
      </w:pPr>
      <w:r>
        <w:t>Executive Summary</w:t>
      </w:r>
    </w:p>
    <w:p>
      <w:pPr>
        <w:spacing w:line="264" w:lineRule="auto"/>
      </w:pPr>
      <w:r>
        <w:t>Dit vierde position paper maakt duidelijk dat Supported Decision Making alleen effect heeft wanneer ook rechtsbeschermings- en handhavingsmechanismen bestaan. Het paper koppelt SDM aan klacht, toezicht, procespositie, rechterlijke toetsing en institutionele verantwoording. Daarmee wordt SDM van normatieve wens omgezet in bestuurbaar en toetsbaar kader.</w:t>
      </w:r>
    </w:p>
    <w:p>
      <w:pPr>
        <w:pStyle w:val="Heading1"/>
      </w:pPr>
      <w:r>
        <w:t>1. Wijzigingsoverzicht</w:t>
      </w:r>
    </w:p>
    <w:p>
      <w:pPr>
        <w:pStyle w:val="ListBullet"/>
        <w:spacing w:after="40"/>
      </w:pPr>
      <w:r>
        <w:rPr>
          <w:rFonts w:ascii="Aptos" w:hAnsi="Aptos"/>
          <w:sz w:val="21"/>
        </w:rPr>
        <w:t>Versie v1.0 – eerste publicatie van dit position paper binnen de SDM-serie.</w:t>
      </w:r>
    </w:p>
    <w:p>
      <w:pPr>
        <w:pStyle w:val="ListBullet"/>
        <w:spacing w:after="40"/>
      </w:pPr>
      <w:r>
        <w:rPr>
          <w:rFonts w:ascii="Aptos" w:hAnsi="Aptos"/>
          <w:sz w:val="21"/>
        </w:rPr>
        <w:t>Aanleiding: uitwerken van een normatief, juridisch en operationeel kader om de kloof tussen jeugd- en volwassenzorg te dichten via Supported Decision Making en een breder transitieraamwerk.</w:t>
      </w:r>
    </w:p>
    <w:p>
      <w:pPr>
        <w:pStyle w:val="ListBullet"/>
        <w:spacing w:after="40"/>
      </w:pPr>
      <w:r>
        <w:rPr>
          <w:rFonts w:ascii="Aptos" w:hAnsi="Aptos"/>
          <w:sz w:val="21"/>
        </w:rPr>
        <w:t>Deze versie vormt een kerndocument voor verdere beleidsontwikkeling, processtrategie, participatieplatform-inbreng en governance-herijking.</w:t>
      </w:r>
    </w:p>
    <w:p>
      <w:pPr>
        <w:pStyle w:val="Heading1"/>
      </w:pPr>
      <w:r>
        <w:t>2. Waarom handhaving noodzakelijk is</w:t>
      </w:r>
    </w:p>
    <w:p>
      <w:pPr>
        <w:spacing w:after="100" w:line="269" w:lineRule="auto"/>
      </w:pPr>
      <w:r>
        <w:t>Instellingen kunnen SDM reduceren tot een gesprekstechniek of symbolische inspraakvorm wanneer geen consequenties volgen op niet-toepassing. Daardoor blijft de kernvraag onbeslist: mag een instelling besluiten blijven nemen zonder de jongere daadwerkelijk te positioneren als drager van ondersteunde keuzevorming?</w:t>
      </w:r>
    </w:p>
    <w:p>
      <w:pPr>
        <w:spacing w:after="100" w:line="269" w:lineRule="auto"/>
      </w:pPr>
      <w:r>
        <w:t>Handhaving is noodzakelijk om twee risico’s tegen te gaan: institutionele willekeur en beleidsmatige voortzetting van controle onder een participatief vocabulaire.</w:t>
      </w:r>
    </w:p>
    <w:p>
      <w:pPr>
        <w:pStyle w:val="Heading1"/>
      </w:pPr>
      <w:r>
        <w:t>3. Vijf escalatieroutes</w:t>
      </w:r>
    </w:p>
    <w:p>
      <w:pPr>
        <w:spacing w:after="100" w:line="269" w:lineRule="auto"/>
      </w:pPr>
      <w:r>
        <w:t>1. Interne dossiercorrectie en formele motiveringsvraag. 2. Klacht bij organisatie of klachtencommissie. 3. Toezicht- en kwaliteitsroute, inclusief inspectie of beroepsnorm. 4. Processuele route via advocaat, bijzonder curator of verzoekschrift. 5. Normatieve escalatie via position paper, governance-herijking of participatieplatform.</w:t>
      </w:r>
    </w:p>
    <w:p>
      <w:pPr>
        <w:spacing w:after="100" w:line="269" w:lineRule="auto"/>
      </w:pPr>
      <w:r>
        <w:t>Deze routes moeten niet willekeurig worden ingezet, maar gekoppeld worden aan de ernst van de blokkade, de tijdsdruk en het risico op ontwikkelings- of rechtsbeschermingsschade.</w:t>
      </w:r>
    </w:p>
    <w:p>
      <w:pPr>
        <w:pStyle w:val="Heading1"/>
      </w:pPr>
      <w:r>
        <w:t>4. Signalen dat SDM feitelijk wordt geblokkeerd</w:t>
      </w:r>
    </w:p>
    <w:p>
      <w:pPr>
        <w:spacing w:after="100" w:line="269" w:lineRule="auto"/>
      </w:pPr>
      <w:r>
        <w:t>De jongere wordt wel genoemd maar niet rechtstreeks gehoord. Een vertrouwenspersoon of steunfiguur mag formeel aanwezig zijn maar zonder dossierpositie. De uitkomst van het gesprek ligt feitelijk al vast. Er wordt verwezen naar beleid of veiligheid zonder toetsbare motivering. Overgangsbesluiten richting volwassenzorg worden genomen zonder open alternatievenvergelijking.</w:t>
      </w:r>
    </w:p>
    <w:p>
      <w:pPr>
        <w:spacing w:after="100" w:line="269" w:lineRule="auto"/>
      </w:pPr>
      <w:r>
        <w:t>Deze signalen rechtvaardigen opschaling van het spoor van vertrouwen of herstel naar formele rechtsbescherming en handhaving.</w:t>
      </w:r>
    </w:p>
    <w:p>
      <w:pPr>
        <w:pStyle w:val="Heading1"/>
      </w:pPr>
      <w:r>
        <w:t>5. Koppeling met CIV-CARE-lagen</w:t>
      </w:r>
    </w:p>
    <w:p>
      <w:pPr>
        <w:spacing w:after="100" w:line="269" w:lineRule="auto"/>
      </w:pPr>
      <w:r>
        <w:t>Laag 0 Vertrouwenspoor is passend wanneer legitimiteit, uitleg en relationele veiligheid ontbreken. Laag 1 Herstelspoor is passend wanneer relationele en praktische beweging nog reëel mogelijk is. Laag 2 P001 is nodig wanneer bescherming, begrenzing of formele correctie noodzakelijk wordt.</w:t>
      </w:r>
    </w:p>
    <w:p>
      <w:pPr>
        <w:spacing w:after="100" w:line="269" w:lineRule="auto"/>
      </w:pPr>
      <w:r>
        <w:t>Voor SDM betekent dit dat niet alleen inhoudelijke besluitvorming, maar ook de mate van institutionele blokkade moet worden getrieerd.</w:t>
      </w:r>
    </w:p>
    <w:p>
      <w:pPr>
        <w:pStyle w:val="Heading1"/>
      </w:pPr>
      <w:r>
        <w:t>6. Operationeel voorstel</w:t>
      </w:r>
    </w:p>
    <w:p>
      <w:pPr>
        <w:spacing w:after="100" w:line="269" w:lineRule="auto"/>
      </w:pPr>
      <w:r>
        <w:t>Ontwikkel binnen CIV-CARE een SDM-handhavingschecklist met kernvragen over hoorbaarheid, steunfiguren, begrijpelijkheid, optieonderzoek, motivering en vervolgtoets. Laat deze checklist fungeren als vaste bijlage bij klachten, brieven, verzoekschriften en audits.</w:t>
      </w:r>
    </w:p>
    <w:p>
      <w:pPr>
        <w:spacing w:after="100" w:line="269" w:lineRule="auto"/>
      </w:pPr>
      <w:r>
        <w:t>Organiseer daarnaast een escalatiematrix die bepaalt wanneer direct rechterlijke actie, toezichtmelding of governance-herijking passend is.</w:t>
      </w:r>
    </w:p>
    <w:p>
      <w:pPr>
        <w:pStyle w:val="Heading1"/>
      </w:pPr>
      <w:r>
        <w:t>7. Strategische conclusie</w:t>
      </w:r>
    </w:p>
    <w:p>
      <w:pPr>
        <w:spacing w:after="100" w:line="269" w:lineRule="auto"/>
      </w:pPr>
      <w:r>
        <w:t>Zonder handhaving blijft SDM een zachte ambitie. Met handhaving wordt het een toetsbare bestuurs- en rechtsbeschermingsstandaard.</w:t>
      </w:r>
    </w:p>
    <w:p>
      <w:pPr>
        <w:spacing w:after="100" w:line="269" w:lineRule="auto"/>
      </w:pPr>
      <w:r>
        <w:t>De laatste stap is daarom een volledig transitiemodel dat SDM, juridisch kader en handhaving samenbrengt in een ontwikkelpad van 16 tot 23 jaar.</w:t>
      </w:r>
    </w:p>
    <w:p>
      <w:pPr>
        <w:pStyle w:val="Heading1"/>
      </w:pPr>
      <w:r>
        <w:t>8. Aanbevolen vervolgstappen</w:t>
      </w:r>
    </w:p>
    <w:p>
      <w:pPr>
        <w:pStyle w:val="ListBullet"/>
        <w:spacing w:after="40"/>
      </w:pPr>
      <w:r>
        <w:rPr>
          <w:rFonts w:ascii="Aptos" w:hAnsi="Aptos"/>
          <w:sz w:val="21"/>
        </w:rPr>
        <w:t>Gebruik dit paper als zelfstandig normatief document én als bouwsteen van de volledige SDM-serie.</w:t>
      </w:r>
    </w:p>
    <w:p>
      <w:pPr>
        <w:pStyle w:val="ListBullet"/>
        <w:spacing w:after="40"/>
      </w:pPr>
      <w:r>
        <w:rPr>
          <w:rFonts w:ascii="Aptos" w:hAnsi="Aptos"/>
          <w:sz w:val="21"/>
        </w:rPr>
        <w:t>Koppel de inhoud aan HPP003/P001 wanneer de overgang van jeugd naar volwassenzorg in een concreet dossier aan de orde is.</w:t>
      </w:r>
    </w:p>
    <w:p>
      <w:pPr>
        <w:pStyle w:val="ListBullet"/>
        <w:spacing w:after="40"/>
      </w:pPr>
      <w:r>
        <w:rPr>
          <w:rFonts w:ascii="Aptos" w:hAnsi="Aptos"/>
          <w:sz w:val="21"/>
        </w:rPr>
        <w:t>Werk, indien gewenst, de inhoud verder uit in modelbrieven, verzoekschriften, auditkaders en participatieplatform-inbreng.</w:t>
      </w:r>
    </w:p>
    <w:sectPr w:rsidR="00FC693F" w:rsidRPr="0006063C" w:rsidSect="00034616">
      <w:headerReference w:type="default" r:id="rId9"/>
      <w:footerReference w:type="default" r:id="rId10"/>
      <w:pgSz w:w="12240" w:h="15840"/>
      <w:pgMar w:top="1247" w:right="1247" w:bottom="1134" w:left="136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ptos" w:hAnsi="Aptos"/>
        <w:sz w:val="16"/>
      </w:rPr>
      <w:t>CIV-CARE – ondersteunde besluitvorming, transitie en rechtsbescherming</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Aptos" w:hAnsi="Aptos"/>
        <w:color w:val="103F73"/>
        <w:sz w:val="16"/>
      </w:rPr>
      <w:t>CIV-CARE | SDM-serie | SDM004</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color w:val="212529"/>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80"/>
      <w:outlineLvl w:val="0"/>
    </w:pPr>
    <w:rPr>
      <w:rFonts w:asciiTheme="majorHAnsi" w:eastAsiaTheme="majorEastAsia" w:hAnsiTheme="majorHAnsi" w:cstheme="majorBidi" w:ascii="Aptos" w:hAnsi="Aptos"/>
      <w:b/>
      <w:bCs/>
      <w:color w:val="103F73"/>
      <w:sz w:val="2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b/>
      <w:bCs/>
      <w:color w:val="103F73"/>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b/>
      <w:bCs/>
      <w:color w:val="103F7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w:hAnsi="Aptos"/>
      <w:b/>
      <w:color w:val="103F73"/>
      <w:spacing w:val="5"/>
      <w:kern w:val="28"/>
      <w:sz w:val="3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ptos" w:hAnsi="Aptos"/>
      <w:i/>
      <w:iCs/>
      <w:color w:val="103F73"/>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