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jc w:val="center"/>
      </w:pPr>
      <w:r>
        <w:rPr>
          <w:rFonts w:ascii="Aptos" w:hAnsi="Aptos"/>
          <w:b/>
          <w:i w:val="0"/>
          <w:color w:val="103F73"/>
          <w:sz w:val="24"/>
        </w:rPr>
        <w:t>CIV-CARE_P100_SDM003</w:t>
      </w:r>
    </w:p>
    <w:p>
      <w:pPr>
        <w:spacing w:after="0"/>
        <w:jc w:val="center"/>
      </w:pPr>
      <w:r>
        <w:rPr>
          <w:rFonts w:ascii="Aptos" w:hAnsi="Aptos"/>
          <w:b/>
          <w:i w:val="0"/>
          <w:color w:val="103F73"/>
          <w:sz w:val="36"/>
        </w:rPr>
        <w:t>Position Paper III</w:t>
      </w:r>
    </w:p>
    <w:p>
      <w:pPr>
        <w:spacing w:after="0"/>
        <w:jc w:val="center"/>
      </w:pPr>
      <w:r>
        <w:rPr>
          <w:rFonts w:ascii="Aptos" w:hAnsi="Aptos"/>
          <w:b w:val="0"/>
          <w:i/>
          <w:color w:val="103F73"/>
          <w:sz w:val="22"/>
        </w:rPr>
        <w:t>Juridische verankering van SDM</w:t>
      </w:r>
    </w:p>
    <w:p/>
    <w:tbl>
      <w:tblPr>
        <w:tblW w:type="auto" w:w="0"/>
        <w:jc w:val="center"/>
        <w:tblLayout w:type="fixed"/>
        <w:tblLook w:firstColumn="1" w:firstRow="1" w:lastColumn="0" w:lastRow="0" w:noHBand="0" w:noVBand="1" w:val="04A0"/>
      </w:tblPr>
      <w:tblGrid>
        <w:gridCol w:w="4816"/>
        <w:gridCol w:w="4816"/>
      </w:tblGrid>
      <w:tr>
        <w:tc>
          <w:tcPr>
            <w:tcW w:type="dxa" w:w="2041"/>
            <w:vAlign w:val="center"/>
            <w:shd w:fill="EEF3F9"/>
          </w:tcPr>
          <w:p>
            <w:pPr>
              <w:spacing w:after="40" w:before="40"/>
            </w:pPr>
            <w:r>
              <w:rPr>
                <w:rFonts w:ascii="Aptos" w:hAnsi="Aptos"/>
                <w:b/>
                <w:color w:val="103F73"/>
                <w:sz w:val="19"/>
              </w:rPr>
              <w:t>Datum</w:t>
            </w:r>
          </w:p>
        </w:tc>
        <w:tc>
          <w:tcPr>
            <w:tcW w:type="dxa" w:w="6576"/>
            <w:vAlign w:val="center"/>
            <w:shd w:fill="F8FAFD"/>
          </w:tcPr>
          <w:p>
            <w:pPr>
              <w:spacing w:after="40" w:before="40"/>
            </w:pPr>
            <w:r>
              <w:rPr>
                <w:rFonts w:ascii="Aptos" w:hAnsi="Aptos"/>
                <w:sz w:val="19"/>
              </w:rPr>
              <w:t>2026-04-21</w:t>
            </w:r>
          </w:p>
        </w:tc>
      </w:tr>
      <w:tr>
        <w:tc>
          <w:tcPr>
            <w:tcW w:type="dxa" w:w="2041"/>
            <w:vAlign w:val="center"/>
          </w:tcPr>
          <w:p>
            <w:pPr>
              <w:spacing w:after="40" w:before="40"/>
            </w:pPr>
            <w:r>
              <w:rPr>
                <w:rFonts w:ascii="Aptos" w:hAnsi="Aptos"/>
                <w:b/>
                <w:color w:val="103F73"/>
                <w:sz w:val="19"/>
              </w:rPr>
              <w:t>Versie</w:t>
            </w:r>
          </w:p>
        </w:tc>
        <w:tc>
          <w:tcPr>
            <w:tcW w:type="dxa" w:w="6576"/>
            <w:vAlign w:val="center"/>
          </w:tcPr>
          <w:p>
            <w:pPr>
              <w:spacing w:after="40" w:before="40"/>
            </w:pPr>
            <w:r>
              <w:rPr>
                <w:rFonts w:ascii="Aptos" w:hAnsi="Aptos"/>
                <w:sz w:val="19"/>
              </w:rPr>
              <w:t>v1.0</w:t>
            </w:r>
          </w:p>
        </w:tc>
      </w:tr>
      <w:tr>
        <w:tc>
          <w:tcPr>
            <w:tcW w:type="dxa" w:w="2041"/>
            <w:vAlign w:val="center"/>
            <w:shd w:fill="EEF3F9"/>
          </w:tcPr>
          <w:p>
            <w:pPr>
              <w:spacing w:after="40" w:before="40"/>
            </w:pPr>
            <w:r>
              <w:rPr>
                <w:rFonts w:ascii="Aptos" w:hAnsi="Aptos"/>
                <w:b/>
                <w:color w:val="103F73"/>
                <w:sz w:val="19"/>
              </w:rPr>
              <w:t>Relevantie</w:t>
            </w:r>
          </w:p>
        </w:tc>
        <w:tc>
          <w:tcPr>
            <w:tcW w:type="dxa" w:w="6576"/>
            <w:vAlign w:val="center"/>
            <w:shd w:fill="F8FAFD"/>
          </w:tcPr>
          <w:p>
            <w:pPr>
              <w:spacing w:after="40" w:before="40"/>
            </w:pPr>
            <w:r>
              <w:rPr>
                <w:rFonts w:ascii="Aptos" w:hAnsi="Aptos"/>
                <w:sz w:val="19"/>
              </w:rPr>
              <w:t>Juridische onderbouwing voor processtukken, beleidsvoorstellen en normatieve positionering</w:t>
            </w:r>
          </w:p>
        </w:tc>
      </w:tr>
      <w:tr>
        <w:tc>
          <w:tcPr>
            <w:tcW w:type="dxa" w:w="2041"/>
            <w:vAlign w:val="center"/>
          </w:tcPr>
          <w:p>
            <w:pPr>
              <w:spacing w:after="40" w:before="40"/>
            </w:pPr>
            <w:r>
              <w:rPr>
                <w:rFonts w:ascii="Aptos" w:hAnsi="Aptos"/>
                <w:b/>
                <w:color w:val="103F73"/>
                <w:sz w:val="19"/>
              </w:rPr>
              <w:t>Doel</w:t>
            </w:r>
          </w:p>
        </w:tc>
        <w:tc>
          <w:tcPr>
            <w:tcW w:type="dxa" w:w="6576"/>
            <w:vAlign w:val="center"/>
          </w:tcPr>
          <w:p>
            <w:pPr>
              <w:spacing w:after="40" w:before="40"/>
            </w:pPr>
            <w:r>
              <w:rPr>
                <w:rFonts w:ascii="Aptos" w:hAnsi="Aptos"/>
                <w:sz w:val="19"/>
              </w:rPr>
              <w:t>Onderbouwen dat ondersteunde besluitvorming geen vrijblijvende methodiek is, maar aansluit op bestaande kinder-, mensen- en familierechtelijke normen</w:t>
            </w:r>
          </w:p>
        </w:tc>
      </w:tr>
      <w:tr>
        <w:tc>
          <w:tcPr>
            <w:tcW w:type="dxa" w:w="2041"/>
            <w:vAlign w:val="center"/>
            <w:shd w:fill="EEF3F9"/>
          </w:tcPr>
          <w:p>
            <w:pPr>
              <w:spacing w:after="40" w:before="40"/>
            </w:pPr>
            <w:r>
              <w:rPr>
                <w:rFonts w:ascii="Aptos" w:hAnsi="Aptos"/>
                <w:b/>
                <w:color w:val="103F73"/>
                <w:sz w:val="19"/>
              </w:rPr>
              <w:t>Categorie</w:t>
            </w:r>
          </w:p>
        </w:tc>
        <w:tc>
          <w:tcPr>
            <w:tcW w:type="dxa" w:w="6576"/>
            <w:vAlign w:val="center"/>
            <w:shd w:fill="F8FAFD"/>
          </w:tcPr>
          <w:p>
            <w:pPr>
              <w:spacing w:after="40" w:before="40"/>
            </w:pPr>
            <w:r>
              <w:rPr>
                <w:rFonts w:ascii="Aptos" w:hAnsi="Aptos"/>
                <w:sz w:val="19"/>
              </w:rPr>
              <w:t>Position Paper / SDM-serie</w:t>
            </w:r>
          </w:p>
        </w:tc>
      </w:tr>
      <w:tr>
        <w:tc>
          <w:tcPr>
            <w:tcW w:type="dxa" w:w="2041"/>
            <w:vAlign w:val="center"/>
          </w:tcPr>
          <w:p>
            <w:pPr>
              <w:spacing w:after="40" w:before="40"/>
            </w:pPr>
            <w:r>
              <w:rPr>
                <w:rFonts w:ascii="Aptos" w:hAnsi="Aptos"/>
                <w:b/>
                <w:color w:val="103F73"/>
                <w:sz w:val="19"/>
              </w:rPr>
              <w:t>Bestandsnaam</w:t>
            </w:r>
          </w:p>
        </w:tc>
        <w:tc>
          <w:tcPr>
            <w:tcW w:type="dxa" w:w="6576"/>
            <w:vAlign w:val="center"/>
          </w:tcPr>
          <w:p>
            <w:pPr>
              <w:spacing w:after="40" w:before="40"/>
            </w:pPr>
            <w:r>
              <w:rPr>
                <w:rFonts w:ascii="Aptos" w:hAnsi="Aptos"/>
                <w:sz w:val="19"/>
              </w:rPr>
              <w:t>CIV-CARE_P100_2026-04-21_positionpaper_van_AG_aan_CC_juridische-verankering-sdm_v1.0.docx</w:t>
            </w:r>
          </w:p>
        </w:tc>
      </w:tr>
    </w:tbl>
    <w:p/>
    <w:p>
      <w:pPr>
        <w:pBdr>
          <w:bottom w:val="single" w:sz="8" w:space="1" w:color="5A7CA0"/>
        </w:pBdr>
      </w:pPr>
    </w:p>
    <w:p>
      <w:pPr>
        <w:pStyle w:val="Heading1"/>
      </w:pPr>
      <w:r>
        <w:t>Executive Summary</w:t>
      </w:r>
    </w:p>
    <w:p>
      <w:pPr>
        <w:spacing w:line="264" w:lineRule="auto"/>
      </w:pPr>
      <w:r>
        <w:t>Dit derde position paper laat zien dat Supported Decision Making kan worden ingebed in bestaande rechtsnormen. Het paper werkt uit hoe participatie, gezinsleven, proportionaliteit, subsidiariteit en procedurele zorgvuldigheid reeds een juridische basis vormen voor ondersteunde besluitvorming, zeker in de overgangszone van 16 tot 23 jaar.</w:t>
      </w:r>
    </w:p>
    <w:p>
      <w:pPr>
        <w:pStyle w:val="Heading1"/>
      </w:pPr>
      <w:r>
        <w:t>1. Wijzigingsoverzicht</w:t>
      </w:r>
    </w:p>
    <w:p>
      <w:pPr>
        <w:pStyle w:val="ListBullet"/>
        <w:spacing w:after="40"/>
      </w:pPr>
      <w:r>
        <w:rPr>
          <w:rFonts w:ascii="Aptos" w:hAnsi="Aptos"/>
          <w:sz w:val="21"/>
        </w:rPr>
        <w:t>Versie v1.0 – eerste publicatie van dit position paper binnen de SDM-serie.</w:t>
      </w:r>
    </w:p>
    <w:p>
      <w:pPr>
        <w:pStyle w:val="ListBullet"/>
        <w:spacing w:after="40"/>
      </w:pPr>
      <w:r>
        <w:rPr>
          <w:rFonts w:ascii="Aptos" w:hAnsi="Aptos"/>
          <w:sz w:val="21"/>
        </w:rPr>
        <w:t>Aanleiding: uitwerken van een normatief, juridisch en operationeel kader om de kloof tussen jeugd- en volwassenzorg te dichten via Supported Decision Making en een breder transitieraamwerk.</w:t>
      </w:r>
    </w:p>
    <w:p>
      <w:pPr>
        <w:pStyle w:val="ListBullet"/>
        <w:spacing w:after="40"/>
      </w:pPr>
      <w:r>
        <w:rPr>
          <w:rFonts w:ascii="Aptos" w:hAnsi="Aptos"/>
          <w:sz w:val="21"/>
        </w:rPr>
        <w:t>Deze versie vormt een kerndocument voor verdere beleidsontwikkeling, processtrategie, participatieplatform-inbreng en governance-herijking.</w:t>
      </w:r>
    </w:p>
    <w:p>
      <w:pPr>
        <w:pStyle w:val="Heading1"/>
      </w:pPr>
      <w:r>
        <w:t>2. Internationale en nationale ankers</w:t>
      </w:r>
    </w:p>
    <w:p>
      <w:pPr>
        <w:spacing w:after="100" w:line="269" w:lineRule="auto"/>
      </w:pPr>
      <w:r>
        <w:t>Artikel 12 IVRK verplicht dat jongeren vrij hun mening kunnen uiten in alle aangelegenheden die hen betreffen en dat aan die mening passend gewicht wordt toegekend. Voor SDM betekent dit dat niet alleen het horen zelf relevant is, maar ook de kwaliteit van de condities waaronder de jongere kan meebeslissen.</w:t>
      </w:r>
    </w:p>
    <w:p>
      <w:pPr>
        <w:spacing w:after="100" w:line="269" w:lineRule="auto"/>
      </w:pPr>
      <w:r>
        <w:t>Artikel 8 EVRM beschermt privé-, familie- en gezinsleven. Voor jongeren in de breukzone betekent dit dat beslissingen over verblijf, netwerkrelaties en zorgcontinuïteit niet louter institutioneel mogen worden gedicteerd zonder aantoonbare noodzakelijkheid en proportionele onderbouwing.</w:t>
      </w:r>
    </w:p>
    <w:p>
      <w:pPr>
        <w:pStyle w:val="Heading1"/>
      </w:pPr>
      <w:r>
        <w:t>3. Participatie is meer dan hoorrecht</w:t>
      </w:r>
    </w:p>
    <w:p>
      <w:pPr>
        <w:spacing w:after="100" w:line="269" w:lineRule="auto"/>
      </w:pPr>
      <w:r>
        <w:t>Artikel 809 Rv en artikel 1:377g BW bevestigen dat jongeren een eigen processuele en participatieve positie hebben. SDM sluit daarop aan door te concretiseren hoe die positie operationeel vorm krijgt.</w:t>
      </w:r>
    </w:p>
    <w:p>
      <w:pPr>
        <w:spacing w:after="100" w:line="269" w:lineRule="auto"/>
      </w:pPr>
      <w:r>
        <w:t>Een jongere horen zonder ondersteuning, zonder begrijpelijke informatie of zonder veilige setting voldoet niet aan de geest van deze normen. Juridisch relevante participatie veronderstelt een daadwerkelijk beslisvermogen in context.</w:t>
      </w:r>
    </w:p>
    <w:p>
      <w:pPr>
        <w:pStyle w:val="Heading1"/>
      </w:pPr>
      <w:r>
        <w:t>4. Subsidiariteit en proportionaliteit</w:t>
      </w:r>
    </w:p>
    <w:p>
      <w:pPr>
        <w:spacing w:after="100" w:line="269" w:lineRule="auto"/>
      </w:pPr>
      <w:r>
        <w:t>Wanneer instellingen kiezen voor zware beschermingsconstructies, voortgezette sturing of feitelijke blokkade van netwerkopties, moeten zij kunnen onderbouwen waarom een minder ingrijpend SDM-traject onvoldoende zou zijn. Zonder die onderbouwing wordt het risico op disproportionele interventie groot.</w:t>
      </w:r>
    </w:p>
    <w:p>
      <w:pPr>
        <w:spacing w:after="100" w:line="269" w:lineRule="auto"/>
      </w:pPr>
      <w:r>
        <w:t>SDM functioneert hier dus als toetsingslat: is een ondersteuningsmodel met netwerk, begrijpelijke informatie en gefaseerde autonomie onderzocht voordat naar zwaardere controle of verlenging is gegrepen?</w:t>
      </w:r>
    </w:p>
    <w:p>
      <w:pPr>
        <w:pStyle w:val="Heading1"/>
      </w:pPr>
      <w:r>
        <w:t>5. Juridische implicaties voor organisaties</w:t>
      </w:r>
    </w:p>
    <w:p>
      <w:pPr>
        <w:spacing w:after="100" w:line="269" w:lineRule="auto"/>
      </w:pPr>
      <w:r>
        <w:t>GI’s, jeugdhulporganisaties, woonvoorzieningen en volwassenzorgaanbieders moeten hun besluitvorming zodanig inrichten dat zichtbaar is of een ondersteund alternatief is onderzocht. Dit raakt dossieropbouw, motiveringsplicht, gespreksverslaglegging en overgangsplanning.</w:t>
      </w:r>
    </w:p>
    <w:p>
      <w:pPr>
        <w:spacing w:after="100" w:line="269" w:lineRule="auto"/>
      </w:pPr>
      <w:r>
        <w:t>Waar SDM niet serieus wordt onderzocht, neemt het risico toe op schending van participatierechten, ongeoorloofde voortzetting van sturingslogica en procedurele onzorgvuldigheid.</w:t>
      </w:r>
    </w:p>
    <w:p>
      <w:pPr>
        <w:pStyle w:val="Heading1"/>
      </w:pPr>
      <w:r>
        <w:t>6. Voorstel voor normatieve standaard</w:t>
      </w:r>
    </w:p>
    <w:p>
      <w:pPr>
        <w:spacing w:after="100" w:line="269" w:lineRule="auto"/>
      </w:pPr>
      <w:r>
        <w:t>Voer binnen CIV-CARE een standaard in waarbij bij iedere ingrijpende beslissing in de leeftijd 16–23 jaar expliciet wordt vastgelegd: de beslisvraag, de SDM-ondersteuning, de geuite voorkeur, eventuele afwijking daarvan en de reden waarom een zwaarder kader wel of niet noodzakelijk is.</w:t>
      </w:r>
    </w:p>
    <w:p>
      <w:pPr>
        <w:spacing w:after="100" w:line="269" w:lineRule="auto"/>
      </w:pPr>
      <w:r>
        <w:t>Deze standaard maakt SDM juridisch zichtbaar en bruikbaar in bezwaar, klacht, verzoekschrift, toezicht en beleidsdialoog.</w:t>
      </w:r>
    </w:p>
    <w:p>
      <w:pPr>
        <w:pStyle w:val="Heading1"/>
      </w:pPr>
      <w:r>
        <w:t>7. Strategische conclusie</w:t>
      </w:r>
    </w:p>
    <w:p>
      <w:pPr>
        <w:spacing w:after="100" w:line="269" w:lineRule="auto"/>
      </w:pPr>
      <w:r>
        <w:t>SDM hoeft niet te wachten op volledig nieuwe wetgeving om juridisch relevant te zijn. Reeds bestaande normen geven voldoende grond om ondersteunde besluitvorming als serieuze rechtsstandaard te positioneren.</w:t>
      </w:r>
    </w:p>
    <w:p>
      <w:pPr>
        <w:spacing w:after="100" w:line="269" w:lineRule="auto"/>
      </w:pPr>
      <w:r>
        <w:t>De volgende stap is handhaving: wat gebeurt er wanneer instellingen SDM negeren, reduceren of alleen symbolisch toepassen?</w:t>
      </w:r>
    </w:p>
    <w:p>
      <w:pPr>
        <w:pStyle w:val="Heading1"/>
      </w:pPr>
      <w:r>
        <w:t>8. Aanbevolen vervolgstappen</w:t>
      </w:r>
    </w:p>
    <w:p>
      <w:pPr>
        <w:pStyle w:val="ListBullet"/>
        <w:spacing w:after="40"/>
      </w:pPr>
      <w:r>
        <w:rPr>
          <w:rFonts w:ascii="Aptos" w:hAnsi="Aptos"/>
          <w:sz w:val="21"/>
        </w:rPr>
        <w:t>Gebruik dit paper als zelfstandig normatief document én als bouwsteen van de volledige SDM-serie.</w:t>
      </w:r>
    </w:p>
    <w:p>
      <w:pPr>
        <w:pStyle w:val="ListBullet"/>
        <w:spacing w:after="40"/>
      </w:pPr>
      <w:r>
        <w:rPr>
          <w:rFonts w:ascii="Aptos" w:hAnsi="Aptos"/>
          <w:sz w:val="21"/>
        </w:rPr>
        <w:t>Koppel de inhoud aan HPP003/P001 wanneer de overgang van jeugd naar volwassenzorg in een concreet dossier aan de orde is.</w:t>
      </w:r>
    </w:p>
    <w:p>
      <w:pPr>
        <w:pStyle w:val="ListBullet"/>
        <w:spacing w:after="40"/>
      </w:pPr>
      <w:r>
        <w:rPr>
          <w:rFonts w:ascii="Aptos" w:hAnsi="Aptos"/>
          <w:sz w:val="21"/>
        </w:rPr>
        <w:t>Werk, indien gewenst, de inhoud verder uit in modelbrieven, verzoekschriften, auditkaders en participatieplatform-inbreng.</w:t>
      </w:r>
    </w:p>
    <w:sectPr w:rsidR="00FC693F" w:rsidRPr="0006063C" w:rsidSect="00034616">
      <w:headerReference w:type="default" r:id="rId9"/>
      <w:footerReference w:type="default" r:id="rId10"/>
      <w:pgSz w:w="12240" w:h="15840"/>
      <w:pgMar w:top="1247" w:right="1247" w:bottom="1134"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sz w:val="16"/>
      </w:rPr>
      <w:t>CIV-CARE – ondersteunde besluitvorming, transitie en rechtsbescherming</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Aptos" w:hAnsi="Aptos"/>
        <w:color w:val="103F73"/>
        <w:sz w:val="16"/>
      </w:rPr>
      <w:t>CIV-CARE | SDM-serie | SDM003</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color w:val="212529"/>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80"/>
      <w:outlineLvl w:val="0"/>
    </w:pPr>
    <w:rPr>
      <w:rFonts w:asciiTheme="majorHAnsi" w:eastAsiaTheme="majorEastAsia" w:hAnsiTheme="majorHAnsi" w:cstheme="majorBidi" w:ascii="Aptos" w:hAnsi="Aptos"/>
      <w:b/>
      <w:bCs/>
      <w:color w:val="103F73"/>
      <w:sz w:val="2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103F73"/>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103F7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b/>
      <w:color w:val="103F73"/>
      <w:spacing w:val="5"/>
      <w:kern w:val="28"/>
      <w:sz w:val="3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i/>
      <w:iCs/>
      <w:color w:val="103F73"/>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