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ptos" w:hAnsi="Aptos"/>
          <w:b/>
          <w:i w:val="0"/>
          <w:color w:val="103F73"/>
          <w:sz w:val="24"/>
        </w:rPr>
        <w:t>CIV-CARE_P100_SDM002</w:t>
      </w:r>
    </w:p>
    <w:p>
      <w:pPr>
        <w:spacing w:after="0"/>
        <w:jc w:val="center"/>
      </w:pPr>
      <w:r>
        <w:rPr>
          <w:rFonts w:ascii="Aptos" w:hAnsi="Aptos"/>
          <w:b/>
          <w:i w:val="0"/>
          <w:color w:val="103F73"/>
          <w:sz w:val="36"/>
        </w:rPr>
        <w:t>Position Paper II</w:t>
      </w:r>
    </w:p>
    <w:p>
      <w:pPr>
        <w:spacing w:after="0"/>
        <w:jc w:val="center"/>
      </w:pPr>
      <w:r>
        <w:rPr>
          <w:rFonts w:ascii="Aptos" w:hAnsi="Aptos"/>
          <w:b w:val="0"/>
          <w:i/>
          <w:color w:val="103F73"/>
          <w:sz w:val="22"/>
        </w:rPr>
        <w:t>Supported Decision Making als kernmodel</w:t>
      </w:r>
    </w:p>
    <w:p/>
    <w:tbl>
      <w:tblPr>
        <w:tblW w:type="auto" w:w="0"/>
        <w:jc w:val="center"/>
        <w:tblLayout w:type="fixed"/>
        <w:tblLook w:firstColumn="1" w:firstRow="1" w:lastColumn="0" w:lastRow="0" w:noHBand="0" w:noVBand="1" w:val="04A0"/>
      </w:tblPr>
      <w:tblGrid>
        <w:gridCol w:w="4816"/>
        <w:gridCol w:w="4816"/>
      </w:tblGrid>
      <w:tr>
        <w:tc>
          <w:tcPr>
            <w:tcW w:type="dxa" w:w="2041"/>
            <w:vAlign w:val="center"/>
            <w:shd w:fill="EEF3F9"/>
          </w:tcPr>
          <w:p>
            <w:pPr>
              <w:spacing w:after="40" w:before="40"/>
            </w:pPr>
            <w:r>
              <w:rPr>
                <w:rFonts w:ascii="Aptos" w:hAnsi="Aptos"/>
                <w:b/>
                <w:color w:val="103F73"/>
                <w:sz w:val="19"/>
              </w:rPr>
              <w:t>Datum</w:t>
            </w:r>
          </w:p>
        </w:tc>
        <w:tc>
          <w:tcPr>
            <w:tcW w:type="dxa" w:w="6576"/>
            <w:vAlign w:val="center"/>
            <w:shd w:fill="F8FAFD"/>
          </w:tcPr>
          <w:p>
            <w:pPr>
              <w:spacing w:after="40" w:before="40"/>
            </w:pPr>
            <w:r>
              <w:rPr>
                <w:rFonts w:ascii="Aptos" w:hAnsi="Aptos"/>
                <w:sz w:val="19"/>
              </w:rPr>
              <w:t>2026-04-21</w:t>
            </w:r>
          </w:p>
        </w:tc>
      </w:tr>
      <w:tr>
        <w:tc>
          <w:tcPr>
            <w:tcW w:type="dxa" w:w="2041"/>
            <w:vAlign w:val="center"/>
          </w:tcPr>
          <w:p>
            <w:pPr>
              <w:spacing w:after="40" w:before="40"/>
            </w:pPr>
            <w:r>
              <w:rPr>
                <w:rFonts w:ascii="Aptos" w:hAnsi="Aptos"/>
                <w:b/>
                <w:color w:val="103F73"/>
                <w:sz w:val="19"/>
              </w:rPr>
              <w:t>Versie</w:t>
            </w:r>
          </w:p>
        </w:tc>
        <w:tc>
          <w:tcPr>
            <w:tcW w:type="dxa" w:w="6576"/>
            <w:vAlign w:val="center"/>
          </w:tcPr>
          <w:p>
            <w:pPr>
              <w:spacing w:after="40" w:before="40"/>
            </w:pPr>
            <w:r>
              <w:rPr>
                <w:rFonts w:ascii="Aptos" w:hAnsi="Aptos"/>
                <w:sz w:val="19"/>
              </w:rPr>
              <w:t>v1.0</w:t>
            </w:r>
          </w:p>
        </w:tc>
      </w:tr>
      <w:tr>
        <w:tc>
          <w:tcPr>
            <w:tcW w:type="dxa" w:w="2041"/>
            <w:vAlign w:val="center"/>
            <w:shd w:fill="EEF3F9"/>
          </w:tcPr>
          <w:p>
            <w:pPr>
              <w:spacing w:after="40" w:before="40"/>
            </w:pPr>
            <w:r>
              <w:rPr>
                <w:rFonts w:ascii="Aptos" w:hAnsi="Aptos"/>
                <w:b/>
                <w:color w:val="103F73"/>
                <w:sz w:val="19"/>
              </w:rPr>
              <w:t>Relevantie</w:t>
            </w:r>
          </w:p>
        </w:tc>
        <w:tc>
          <w:tcPr>
            <w:tcW w:type="dxa" w:w="6576"/>
            <w:vAlign w:val="center"/>
            <w:shd w:fill="F8FAFD"/>
          </w:tcPr>
          <w:p>
            <w:pPr>
              <w:spacing w:after="40" w:before="40"/>
            </w:pPr>
            <w:r>
              <w:rPr>
                <w:rFonts w:ascii="Aptos" w:hAnsi="Aptos"/>
                <w:sz w:val="19"/>
              </w:rPr>
              <w:t>Normatief en praktisch kernstuk voor inrichting van ondersteunde besluitvorming</w:t>
            </w:r>
          </w:p>
        </w:tc>
      </w:tr>
      <w:tr>
        <w:tc>
          <w:tcPr>
            <w:tcW w:type="dxa" w:w="2041"/>
            <w:vAlign w:val="center"/>
          </w:tcPr>
          <w:p>
            <w:pPr>
              <w:spacing w:after="40" w:before="40"/>
            </w:pPr>
            <w:r>
              <w:rPr>
                <w:rFonts w:ascii="Aptos" w:hAnsi="Aptos"/>
                <w:b/>
                <w:color w:val="103F73"/>
                <w:sz w:val="19"/>
              </w:rPr>
              <w:t>Doel</w:t>
            </w:r>
          </w:p>
        </w:tc>
        <w:tc>
          <w:tcPr>
            <w:tcW w:type="dxa" w:w="6576"/>
            <w:vAlign w:val="center"/>
          </w:tcPr>
          <w:p>
            <w:pPr>
              <w:spacing w:after="40" w:before="40"/>
            </w:pPr>
            <w:r>
              <w:rPr>
                <w:rFonts w:ascii="Aptos" w:hAnsi="Aptos"/>
                <w:sz w:val="19"/>
              </w:rPr>
              <w:t>Vastleggen hoe Supported Decision Making als ontwikkel- en beschermingsmodel werkt tussen jeugd en volwassenheid</w:t>
            </w:r>
          </w:p>
        </w:tc>
      </w:tr>
      <w:tr>
        <w:tc>
          <w:tcPr>
            <w:tcW w:type="dxa" w:w="2041"/>
            <w:vAlign w:val="center"/>
            <w:shd w:fill="EEF3F9"/>
          </w:tcPr>
          <w:p>
            <w:pPr>
              <w:spacing w:after="40" w:before="40"/>
            </w:pPr>
            <w:r>
              <w:rPr>
                <w:rFonts w:ascii="Aptos" w:hAnsi="Aptos"/>
                <w:b/>
                <w:color w:val="103F73"/>
                <w:sz w:val="19"/>
              </w:rPr>
              <w:t>Categorie</w:t>
            </w:r>
          </w:p>
        </w:tc>
        <w:tc>
          <w:tcPr>
            <w:tcW w:type="dxa" w:w="6576"/>
            <w:vAlign w:val="center"/>
            <w:shd w:fill="F8FAFD"/>
          </w:tcPr>
          <w:p>
            <w:pPr>
              <w:spacing w:after="40" w:before="40"/>
            </w:pPr>
            <w:r>
              <w:rPr>
                <w:rFonts w:ascii="Aptos" w:hAnsi="Aptos"/>
                <w:sz w:val="19"/>
              </w:rPr>
              <w:t>Position Paper / SDM-serie</w:t>
            </w:r>
          </w:p>
        </w:tc>
      </w:tr>
      <w:tr>
        <w:tc>
          <w:tcPr>
            <w:tcW w:type="dxa" w:w="2041"/>
            <w:vAlign w:val="center"/>
          </w:tcPr>
          <w:p>
            <w:pPr>
              <w:spacing w:after="40" w:before="40"/>
            </w:pPr>
            <w:r>
              <w:rPr>
                <w:rFonts w:ascii="Aptos" w:hAnsi="Aptos"/>
                <w:b/>
                <w:color w:val="103F73"/>
                <w:sz w:val="19"/>
              </w:rPr>
              <w:t>Bestandsnaam</w:t>
            </w:r>
          </w:p>
        </w:tc>
        <w:tc>
          <w:tcPr>
            <w:tcW w:type="dxa" w:w="6576"/>
            <w:vAlign w:val="center"/>
          </w:tcPr>
          <w:p>
            <w:pPr>
              <w:spacing w:after="40" w:before="40"/>
            </w:pPr>
            <w:r>
              <w:rPr>
                <w:rFonts w:ascii="Aptos" w:hAnsi="Aptos"/>
                <w:sz w:val="19"/>
              </w:rPr>
              <w:t>CIV-CARE_P100_2026-04-21_positionpaper_van_AG_aan_CC_sdm-als-kernmodel_v1.0.docx</w:t>
            </w:r>
          </w:p>
        </w:tc>
      </w:tr>
    </w:tbl>
    <w:p/>
    <w:p>
      <w:pPr>
        <w:pBdr>
          <w:bottom w:val="single" w:sz="8" w:space="1" w:color="5A7CA0"/>
        </w:pBdr>
      </w:pPr>
    </w:p>
    <w:p>
      <w:pPr>
        <w:pStyle w:val="Heading1"/>
      </w:pPr>
      <w:r>
        <w:t>Executive Summary</w:t>
      </w:r>
    </w:p>
    <w:p>
      <w:pPr>
        <w:spacing w:line="264" w:lineRule="auto"/>
      </w:pPr>
      <w:r>
        <w:t>Dit tweede position paper werkt Supported Decision Making uit als kernmodel voor jongeren in de overgangszone. Het onderscheidt SDM expliciet van vervangende besluitvorming, informele betrokkenheid zonder rechtsgevolg en institutionele sturing zonder zichtbare toestemming. Het paper formuleert ontwerpprincipes, rollen, minimumwaarborgen en een praktisch stappenmodel.</w:t>
      </w:r>
    </w:p>
    <w:p>
      <w:pPr>
        <w:pStyle w:val="Heading1"/>
      </w:pPr>
      <w:r>
        <w:t>1. Wijzigingsoverzicht</w:t>
      </w:r>
    </w:p>
    <w:p>
      <w:pPr>
        <w:pStyle w:val="ListBullet"/>
        <w:spacing w:after="40"/>
      </w:pPr>
      <w:r>
        <w:rPr>
          <w:rFonts w:ascii="Aptos" w:hAnsi="Aptos"/>
          <w:sz w:val="21"/>
        </w:rPr>
        <w:t>Versie v1.0 – eerste publicatie van dit position paper binnen de SDM-serie.</w:t>
      </w:r>
    </w:p>
    <w:p>
      <w:pPr>
        <w:pStyle w:val="ListBullet"/>
        <w:spacing w:after="40"/>
      </w:pPr>
      <w:r>
        <w:rPr>
          <w:rFonts w:ascii="Aptos" w:hAnsi="Aptos"/>
          <w:sz w:val="21"/>
        </w:rPr>
        <w:t>Aanleiding: uitwerken van een normatief, juridisch en operationeel kader om de kloof tussen jeugd- en volwassenzorg te dichten via Supported Decision Making en een breder transitieraamwerk.</w:t>
      </w:r>
    </w:p>
    <w:p>
      <w:pPr>
        <w:pStyle w:val="ListBullet"/>
        <w:spacing w:after="40"/>
      </w:pPr>
      <w:r>
        <w:rPr>
          <w:rFonts w:ascii="Aptos" w:hAnsi="Aptos"/>
          <w:sz w:val="21"/>
        </w:rPr>
        <w:t>Deze versie vormt een kerndocument voor verdere beleidsontwikkeling, processtrategie, participatieplatform-inbreng en governance-herijking.</w:t>
      </w:r>
    </w:p>
    <w:p>
      <w:pPr>
        <w:pStyle w:val="Heading1"/>
      </w:pPr>
      <w:r>
        <w:t>2. Begripsafbakening</w:t>
      </w:r>
    </w:p>
    <w:p>
      <w:pPr>
        <w:spacing w:after="100" w:line="269" w:lineRule="auto"/>
      </w:pPr>
      <w:r>
        <w:t>Supported Decision Making is een besluitvormingsmodel waarin de jongere de drager van de beslissing blijft, terwijl ondersteuning wordt georganiseerd om informatie te begrijpen, opties te wegen, consequenties te overzien en voorkeuren veilig uit te drukken.</w:t>
      </w:r>
    </w:p>
    <w:p>
      <w:pPr>
        <w:spacing w:after="100" w:line="269" w:lineRule="auto"/>
      </w:pPr>
      <w:r>
        <w:t>SDM is dus geen cosmetische participatie en ook geen verkapt vervangingsmodel. Het veronderstelt zichtbare steunstructuren, begrijpelijke communicatie en documenteerbare besluitvormingsstappen.</w:t>
      </w:r>
    </w:p>
    <w:p>
      <w:pPr>
        <w:pStyle w:val="Heading1"/>
      </w:pPr>
      <w:r>
        <w:t>3. Vijf ontwerpprincipes</w:t>
      </w:r>
    </w:p>
    <w:p>
      <w:pPr>
        <w:spacing w:after="100" w:line="269" w:lineRule="auto"/>
      </w:pPr>
      <w:r>
        <w:t>1. Dragerschap van de jongere: de beslissing blijft toerekenbaar aan de jongere, tenzij een zwaar juridisch uitzonderingsregime geldt.</w:t>
      </w:r>
    </w:p>
    <w:p>
      <w:pPr>
        <w:spacing w:after="100" w:line="269" w:lineRule="auto"/>
      </w:pPr>
      <w:r>
        <w:t>2. Begrijpelijkheid: informatie moet toegankelijk zijn qua taal, tempo, vorm en context.</w:t>
      </w:r>
    </w:p>
    <w:p>
      <w:pPr>
        <w:spacing w:after="100" w:line="269" w:lineRule="auto"/>
      </w:pPr>
      <w:r>
        <w:t>3. Netwerksteun: steunfiguren worden niet informeel gedoogd, maar bewust gepositioneerd.</w:t>
      </w:r>
    </w:p>
    <w:p>
      <w:pPr>
        <w:spacing w:after="100" w:line="269" w:lineRule="auto"/>
      </w:pPr>
      <w:r>
        <w:t>4. Toetsbaarheid: zichtbaar moet zijn welke opties zijn besproken, welke voorkeuren zijn geuit en hoe de uiteindelijke keuze tot stand kwam.</w:t>
      </w:r>
    </w:p>
    <w:p>
      <w:pPr>
        <w:spacing w:after="100" w:line="269" w:lineRule="auto"/>
      </w:pPr>
      <w:r>
        <w:t>5. Herijkbaarheid: SDM is geen eenmalige toestemming, maar een proces dat met de ontwikkeling van de jongere meebeweegt.</w:t>
      </w:r>
    </w:p>
    <w:p>
      <w:pPr>
        <w:pStyle w:val="Heading1"/>
      </w:pPr>
      <w:r>
        <w:t>4. Onderscheid met drie ondeugdelijke alternatieven</w:t>
      </w:r>
    </w:p>
    <w:p>
      <w:pPr>
        <w:spacing w:after="100" w:line="269" w:lineRule="auto"/>
      </w:pPr>
      <w:r>
        <w:t>Informele zorgbetrokkenheid zonder rechten: hierbij mag een ouder of vertrouwenspersoon wel aanwezig zijn, maar zonder structurele rol, zonder inzagerecht en zonder verankerde positie.</w:t>
      </w:r>
    </w:p>
    <w:p>
      <w:pPr>
        <w:spacing w:after="100" w:line="269" w:lineRule="auto"/>
      </w:pPr>
      <w:r>
        <w:t>Schijnparticipatie: de jongere wordt gehoord, maar de kernbeslissing is reeds institutioneel voorgesorteerd.</w:t>
      </w:r>
    </w:p>
    <w:p>
      <w:pPr>
        <w:spacing w:after="100" w:line="269" w:lineRule="auto"/>
      </w:pPr>
      <w:r>
        <w:t>Vervangende besluitvorming als standaard: instellingen vallen te snel terug op beschermingsmaatregelen, diagnoses of gedragsduidingen om de jongere feitelijk buiten de beslisruimte te houden.</w:t>
      </w:r>
    </w:p>
    <w:p>
      <w:pPr>
        <w:pStyle w:val="Heading1"/>
      </w:pPr>
      <w:r>
        <w:t>5. Minimumwaarborgen</w:t>
      </w:r>
    </w:p>
    <w:p>
      <w:pPr>
        <w:spacing w:after="100" w:line="269" w:lineRule="auto"/>
      </w:pPr>
      <w:r>
        <w:t>Voor ieder SDM-traject moeten minimaal worden vastgelegd: de beslisvraag, de betrokken steunfiguren, de informatievormen die zijn gebruikt, de opties die zijn besproken, de voorkeur van de jongere, de eventuele spanning met institutionele belangen en de gekozen vervolgstap.</w:t>
      </w:r>
    </w:p>
    <w:p>
      <w:pPr>
        <w:spacing w:after="100" w:line="269" w:lineRule="auto"/>
      </w:pPr>
      <w:r>
        <w:t>Daarnaast moet voor jongeren met ASS, trauma, hechtingsproblematiek of stressdysregulatie worden vastgelegd welke aanpassingen nodig zijn om daadwerkelijke en niet louter formele besluitvorming mogelijk te maken.</w:t>
      </w:r>
    </w:p>
    <w:p>
      <w:pPr>
        <w:pStyle w:val="Heading1"/>
      </w:pPr>
      <w:r>
        <w:t>6. Praktisch SDM-protocol</w:t>
      </w:r>
    </w:p>
    <w:p>
      <w:pPr>
        <w:spacing w:after="100" w:line="269" w:lineRule="auto"/>
      </w:pPr>
      <w:r>
        <w:t>Stap 1: identificeer de beslisvraag. Stap 2: bepaal welke ondersteuning nodig is. Stap 3: organiseer een veilige besluitsetting. Stap 4: verifieer begrip van opties en gevolgen. Stap 5: laat de jongere voorkeur formuleren. Stap 6: documenteer de uitkomst en eventuele afwijking door professionals. Stap 7: plan een herijkmoment.</w:t>
      </w:r>
    </w:p>
    <w:p>
      <w:pPr>
        <w:spacing w:after="100" w:line="269" w:lineRule="auto"/>
      </w:pPr>
      <w:r>
        <w:t>Dit protocol maakt SDM bruikbaar voor verblijf, zorgovergang, onderwijs, financiën, wonen, netwerkcontact, behandeling en transitie naar volwassenondersteuning.</w:t>
      </w:r>
    </w:p>
    <w:p>
      <w:pPr>
        <w:pStyle w:val="Heading1"/>
      </w:pPr>
      <w:r>
        <w:t>7. Strategische conclusie</w:t>
      </w:r>
    </w:p>
    <w:p>
      <w:pPr>
        <w:spacing w:after="100" w:line="269" w:lineRule="auto"/>
      </w:pPr>
      <w:r>
        <w:t>SDM moet worden gepositioneerd als kernmechanisme van ontwikkelautonomie. Daarmee wordt voorkomen dat jongeren in de overgangszone enerzijds onderbeschermd raken en anderzijds in een verlengd institutioneel kader blijven hangen.</w:t>
      </w:r>
    </w:p>
    <w:p>
      <w:pPr>
        <w:spacing w:after="100" w:line="269" w:lineRule="auto"/>
      </w:pPr>
      <w:r>
        <w:t>De volgende stap is daarom juridische verankering: zonder normatieve en procedurele borging blijft SDM kwetsbaar voor willekeur en vrijblijvende toepassing.</w:t>
      </w:r>
    </w:p>
    <w:p>
      <w:pPr>
        <w:pStyle w:val="Heading1"/>
      </w:pPr>
      <w:r>
        <w:t>8. Aanbevolen vervolgstappen</w:t>
      </w:r>
    </w:p>
    <w:p>
      <w:pPr>
        <w:pStyle w:val="ListBullet"/>
        <w:spacing w:after="40"/>
      </w:pPr>
      <w:r>
        <w:rPr>
          <w:rFonts w:ascii="Aptos" w:hAnsi="Aptos"/>
          <w:sz w:val="21"/>
        </w:rPr>
        <w:t>Gebruik dit paper als zelfstandig normatief document én als bouwsteen van de volledige SDM-serie.</w:t>
      </w:r>
    </w:p>
    <w:p>
      <w:pPr>
        <w:pStyle w:val="ListBullet"/>
        <w:spacing w:after="40"/>
      </w:pPr>
      <w:r>
        <w:rPr>
          <w:rFonts w:ascii="Aptos" w:hAnsi="Aptos"/>
          <w:sz w:val="21"/>
        </w:rPr>
        <w:t>Koppel de inhoud aan HPP003/P001 wanneer de overgang van jeugd naar volwassenzorg in een concreet dossier aan de orde is.</w:t>
      </w:r>
    </w:p>
    <w:p>
      <w:pPr>
        <w:pStyle w:val="ListBullet"/>
        <w:spacing w:after="40"/>
      </w:pPr>
      <w:r>
        <w:rPr>
          <w:rFonts w:ascii="Aptos" w:hAnsi="Aptos"/>
          <w:sz w:val="21"/>
        </w:rPr>
        <w:t>Werk, indien gewenst, de inhoud verder uit in modelbrieven, verzoekschriften, auditkaders en participatieplatform-inbreng.</w:t>
      </w:r>
    </w:p>
    <w:sectPr w:rsidR="00FC693F" w:rsidRPr="0006063C" w:rsidSect="00034616">
      <w:headerReference w:type="default" r:id="rId9"/>
      <w:footerReference w:type="default" r:id="rId10"/>
      <w:pgSz w:w="12240" w:h="15840"/>
      <w:pgMar w:top="1247" w:right="1247" w:bottom="1134"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sz w:val="16"/>
      </w:rPr>
      <w:t>CIV-CARE – ondersteunde besluitvorming, transitie en rechtsbescherming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103F73"/>
        <w:sz w:val="16"/>
      </w:rPr>
      <w:t>CIV-CARE | SDM-serie | SDM002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12529"/>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Aptos" w:hAnsi="Aptos"/>
      <w:b/>
      <w:bCs/>
      <w:color w:val="103F73"/>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103F7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103F7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103F73"/>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103F73"/>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