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ptos" w:hAnsi="Aptos"/>
          <w:b/>
          <w:i w:val="0"/>
          <w:color w:val="103F73"/>
          <w:sz w:val="24"/>
        </w:rPr>
        <w:t>CIV-CARE_P100_SDM001</w:t>
      </w:r>
    </w:p>
    <w:p>
      <w:pPr>
        <w:spacing w:after="0"/>
        <w:jc w:val="center"/>
      </w:pPr>
      <w:r>
        <w:rPr>
          <w:rFonts w:ascii="Aptos" w:hAnsi="Aptos"/>
          <w:b/>
          <w:i w:val="0"/>
          <w:color w:val="103F73"/>
          <w:sz w:val="36"/>
        </w:rPr>
        <w:t>Position Paper I</w:t>
      </w:r>
    </w:p>
    <w:p>
      <w:pPr>
        <w:spacing w:after="0"/>
        <w:jc w:val="center"/>
      </w:pPr>
      <w:r>
        <w:rPr>
          <w:rFonts w:ascii="Aptos" w:hAnsi="Aptos"/>
          <w:b w:val="0"/>
          <w:i/>
          <w:color w:val="103F73"/>
          <w:sz w:val="22"/>
        </w:rPr>
        <w:t>Systeembreuk tussen jeugd- en volwassenzorg</w:t>
      </w:r>
    </w:p>
    <w:p/>
    <w:tbl>
      <w:tblPr>
        <w:tblW w:type="auto" w:w="0"/>
        <w:jc w:val="center"/>
        <w:tblLayout w:type="fixed"/>
        <w:tblLook w:firstColumn="1" w:firstRow="1" w:lastColumn="0" w:lastRow="0" w:noHBand="0" w:noVBand="1" w:val="04A0"/>
      </w:tblPr>
      <w:tblGrid>
        <w:gridCol w:w="4816"/>
        <w:gridCol w:w="4816"/>
      </w:tblGrid>
      <w:tr>
        <w:tc>
          <w:tcPr>
            <w:tcW w:type="dxa" w:w="2041"/>
            <w:vAlign w:val="center"/>
            <w:shd w:fill="EEF3F9"/>
          </w:tcPr>
          <w:p>
            <w:pPr>
              <w:spacing w:after="40" w:before="40"/>
            </w:pPr>
            <w:r>
              <w:rPr>
                <w:rFonts w:ascii="Aptos" w:hAnsi="Aptos"/>
                <w:b/>
                <w:color w:val="103F73"/>
                <w:sz w:val="19"/>
              </w:rPr>
              <w:t>Datum</w:t>
            </w:r>
          </w:p>
        </w:tc>
        <w:tc>
          <w:tcPr>
            <w:tcW w:type="dxa" w:w="6576"/>
            <w:vAlign w:val="center"/>
            <w:shd w:fill="F8FAFD"/>
          </w:tcPr>
          <w:p>
            <w:pPr>
              <w:spacing w:after="40" w:before="40"/>
            </w:pPr>
            <w:r>
              <w:rPr>
                <w:rFonts w:ascii="Aptos" w:hAnsi="Aptos"/>
                <w:sz w:val="19"/>
              </w:rPr>
              <w:t>2026-04-21</w:t>
            </w:r>
          </w:p>
        </w:tc>
      </w:tr>
      <w:tr>
        <w:tc>
          <w:tcPr>
            <w:tcW w:type="dxa" w:w="2041"/>
            <w:vAlign w:val="center"/>
          </w:tcPr>
          <w:p>
            <w:pPr>
              <w:spacing w:after="40" w:before="40"/>
            </w:pPr>
            <w:r>
              <w:rPr>
                <w:rFonts w:ascii="Aptos" w:hAnsi="Aptos"/>
                <w:b/>
                <w:color w:val="103F73"/>
                <w:sz w:val="19"/>
              </w:rPr>
              <w:t>Versie</w:t>
            </w:r>
          </w:p>
        </w:tc>
        <w:tc>
          <w:tcPr>
            <w:tcW w:type="dxa" w:w="6576"/>
            <w:vAlign w:val="center"/>
          </w:tcPr>
          <w:p>
            <w:pPr>
              <w:spacing w:after="40" w:before="40"/>
            </w:pPr>
            <w:r>
              <w:rPr>
                <w:rFonts w:ascii="Aptos" w:hAnsi="Aptos"/>
                <w:sz w:val="19"/>
              </w:rPr>
              <w:t>v1.0</w:t>
            </w:r>
          </w:p>
        </w:tc>
      </w:tr>
      <w:tr>
        <w:tc>
          <w:tcPr>
            <w:tcW w:type="dxa" w:w="2041"/>
            <w:vAlign w:val="center"/>
            <w:shd w:fill="EEF3F9"/>
          </w:tcPr>
          <w:p>
            <w:pPr>
              <w:spacing w:after="40" w:before="40"/>
            </w:pPr>
            <w:r>
              <w:rPr>
                <w:rFonts w:ascii="Aptos" w:hAnsi="Aptos"/>
                <w:b/>
                <w:color w:val="103F73"/>
                <w:sz w:val="19"/>
              </w:rPr>
              <w:t>Relevantie</w:t>
            </w:r>
          </w:p>
        </w:tc>
        <w:tc>
          <w:tcPr>
            <w:tcW w:type="dxa" w:w="6576"/>
            <w:vAlign w:val="center"/>
            <w:shd w:fill="F8FAFD"/>
          </w:tcPr>
          <w:p>
            <w:pPr>
              <w:spacing w:after="40" w:before="40"/>
            </w:pPr>
            <w:r>
              <w:rPr>
                <w:rFonts w:ascii="Aptos" w:hAnsi="Aptos"/>
                <w:sz w:val="19"/>
              </w:rPr>
              <w:t>Strategische basisnotitie voor transitiebeleid, dossieranalyse en beleidsbeïnvloeding</w:t>
            </w:r>
          </w:p>
        </w:tc>
      </w:tr>
      <w:tr>
        <w:tc>
          <w:tcPr>
            <w:tcW w:type="dxa" w:w="2041"/>
            <w:vAlign w:val="center"/>
          </w:tcPr>
          <w:p>
            <w:pPr>
              <w:spacing w:after="40" w:before="40"/>
            </w:pPr>
            <w:r>
              <w:rPr>
                <w:rFonts w:ascii="Aptos" w:hAnsi="Aptos"/>
                <w:b/>
                <w:color w:val="103F73"/>
                <w:sz w:val="19"/>
              </w:rPr>
              <w:t>Doel</w:t>
            </w:r>
          </w:p>
        </w:tc>
        <w:tc>
          <w:tcPr>
            <w:tcW w:type="dxa" w:w="6576"/>
            <w:vAlign w:val="center"/>
          </w:tcPr>
          <w:p>
            <w:pPr>
              <w:spacing w:after="40" w:before="40"/>
            </w:pPr>
            <w:r>
              <w:rPr>
                <w:rFonts w:ascii="Aptos" w:hAnsi="Aptos"/>
                <w:sz w:val="19"/>
              </w:rPr>
              <w:t>Duiden waarom de harde knip tussen jeugdbescherming, jeugdhulp en volwassenzorg structurele schade, discontinuïteit en rechtsverlies veroorzaakt</w:t>
            </w:r>
          </w:p>
        </w:tc>
      </w:tr>
      <w:tr>
        <w:tc>
          <w:tcPr>
            <w:tcW w:type="dxa" w:w="2041"/>
            <w:vAlign w:val="center"/>
            <w:shd w:fill="EEF3F9"/>
          </w:tcPr>
          <w:p>
            <w:pPr>
              <w:spacing w:after="40" w:before="40"/>
            </w:pPr>
            <w:r>
              <w:rPr>
                <w:rFonts w:ascii="Aptos" w:hAnsi="Aptos"/>
                <w:b/>
                <w:color w:val="103F73"/>
                <w:sz w:val="19"/>
              </w:rPr>
              <w:t>Categorie</w:t>
            </w:r>
          </w:p>
        </w:tc>
        <w:tc>
          <w:tcPr>
            <w:tcW w:type="dxa" w:w="6576"/>
            <w:vAlign w:val="center"/>
            <w:shd w:fill="F8FAFD"/>
          </w:tcPr>
          <w:p>
            <w:pPr>
              <w:spacing w:after="40" w:before="40"/>
            </w:pPr>
            <w:r>
              <w:rPr>
                <w:rFonts w:ascii="Aptos" w:hAnsi="Aptos"/>
                <w:sz w:val="19"/>
              </w:rPr>
              <w:t>Position Paper / SDM-serie</w:t>
            </w:r>
          </w:p>
        </w:tc>
      </w:tr>
      <w:tr>
        <w:tc>
          <w:tcPr>
            <w:tcW w:type="dxa" w:w="2041"/>
            <w:vAlign w:val="center"/>
          </w:tcPr>
          <w:p>
            <w:pPr>
              <w:spacing w:after="40" w:before="40"/>
            </w:pPr>
            <w:r>
              <w:rPr>
                <w:rFonts w:ascii="Aptos" w:hAnsi="Aptos"/>
                <w:b/>
                <w:color w:val="103F73"/>
                <w:sz w:val="19"/>
              </w:rPr>
              <w:t>Bestandsnaam</w:t>
            </w:r>
          </w:p>
        </w:tc>
        <w:tc>
          <w:tcPr>
            <w:tcW w:type="dxa" w:w="6576"/>
            <w:vAlign w:val="center"/>
          </w:tcPr>
          <w:p>
            <w:pPr>
              <w:spacing w:after="40" w:before="40"/>
            </w:pPr>
            <w:r>
              <w:rPr>
                <w:rFonts w:ascii="Aptos" w:hAnsi="Aptos"/>
                <w:sz w:val="19"/>
              </w:rPr>
              <w:t>CIV-CARE_P100_2026-04-21_positionpaper_van_AG_aan_CC_sdm-systeembreuk-jeugd-volwassenzorg_v1.0.docx</w:t>
            </w:r>
          </w:p>
        </w:tc>
      </w:tr>
    </w:tbl>
    <w:p/>
    <w:p>
      <w:pPr>
        <w:pBdr>
          <w:bottom w:val="single" w:sz="8" w:space="1" w:color="5A7CA0"/>
        </w:pBdr>
      </w:pPr>
    </w:p>
    <w:p>
      <w:pPr>
        <w:pStyle w:val="Heading1"/>
      </w:pPr>
      <w:r>
        <w:t>Executive Summary</w:t>
      </w:r>
    </w:p>
    <w:p>
      <w:pPr>
        <w:spacing w:line="264" w:lineRule="auto"/>
      </w:pPr>
      <w:r>
        <w:t>Dit eerste position paper beschrijft de kern van de systeembreuk rond de leeftijd van achttien jaar. Het laat zien dat de overgang van een beschermingsregime naar een autonomie- en contractregime vaak juridisch abrupt, pedagogisch onzorgvuldig en bestuurlijk onvoorbereid verloopt. De analyse positioneert Supported Decision Making niet als losse methodiek, maar als noodzakelijke bruglogica tussen afhankelijkheid, participatie en volwassen zelfregie.</w:t>
      </w:r>
    </w:p>
    <w:p>
      <w:pPr>
        <w:pStyle w:val="Heading1"/>
      </w:pPr>
      <w:r>
        <w:t>1. Wijzigingsoverzicht</w:t>
      </w:r>
    </w:p>
    <w:p>
      <w:pPr>
        <w:pStyle w:val="ListBullet"/>
        <w:spacing w:after="40"/>
      </w:pPr>
      <w:r>
        <w:rPr>
          <w:rFonts w:ascii="Aptos" w:hAnsi="Aptos"/>
          <w:sz w:val="21"/>
        </w:rPr>
        <w:t>Versie v1.0 – eerste publicatie van dit position paper binnen de SDM-serie.</w:t>
      </w:r>
    </w:p>
    <w:p>
      <w:pPr>
        <w:pStyle w:val="ListBullet"/>
        <w:spacing w:after="40"/>
      </w:pPr>
      <w:r>
        <w:rPr>
          <w:rFonts w:ascii="Aptos" w:hAnsi="Aptos"/>
          <w:sz w:val="21"/>
        </w:rPr>
        <w:t>Aanleiding: uitwerken van een normatief, juridisch en operationeel kader om de kloof tussen jeugd- en volwassenzorg te dichten via Supported Decision Making en een breder transitieraamwerk.</w:t>
      </w:r>
    </w:p>
    <w:p>
      <w:pPr>
        <w:pStyle w:val="ListBullet"/>
        <w:spacing w:after="40"/>
      </w:pPr>
      <w:r>
        <w:rPr>
          <w:rFonts w:ascii="Aptos" w:hAnsi="Aptos"/>
          <w:sz w:val="21"/>
        </w:rPr>
        <w:t>Deze versie vormt een kerndocument voor verdere beleidsontwikkeling, processtrategie, participatieplatform-inbreng en governance-herijking.</w:t>
      </w:r>
    </w:p>
    <w:p>
      <w:pPr>
        <w:pStyle w:val="Heading1"/>
      </w:pPr>
      <w:r>
        <w:t>2. Probleemdefinitie</w:t>
      </w:r>
    </w:p>
    <w:p>
      <w:pPr>
        <w:spacing w:after="100" w:line="269" w:lineRule="auto"/>
      </w:pPr>
      <w:r>
        <w:t>De huidige overgang van jeugd- naar volwassenzorg kent drie samenhangende breuken: een juridische breuk, een besluitvormingsbreuk en een institutionele breuk. Voor de jeugdige betekent dit dat bescherming, perspectief, dossiersturing en netwerkpositionering op de achttiende verjaardag niet geleidelijk verschuiven, maar vaak abrupt van grondslag veranderen.</w:t>
      </w:r>
    </w:p>
    <w:p>
      <w:pPr>
        <w:spacing w:after="100" w:line="269" w:lineRule="auto"/>
      </w:pPr>
      <w:r>
        <w:t>In jeugdbescherming wordt geregeld beslist in het belang van de minderjarige, terwijl in de volwassenzorg vaak wordt uitgegaan van formele toestemming, contractuele zorgtoegang en zelfredzaamheid. Zonder brugmechanisme ontstaat een vacuüm: de jongere was tot vlak voor de meerderjarigheid onvoldoende zelfsturend gepositioneerd, maar moet direct daarna wel functioneren alsof deze autonomie reeds is opgebouwd.</w:t>
      </w:r>
    </w:p>
    <w:p>
      <w:pPr>
        <w:pStyle w:val="Heading1"/>
      </w:pPr>
      <w:r>
        <w:t>3. Drie kernbreuken</w:t>
      </w:r>
    </w:p>
    <w:p>
      <w:pPr>
        <w:spacing w:after="100" w:line="269" w:lineRule="auto"/>
      </w:pPr>
      <w:r>
        <w:t>Juridische breuk: de overgang van beschermingsmaatregelen en gezagsinterventies naar een regime van meerderjarigheid kent geen standaard zachte landing. Alleen bewind, mentorschap of curatele bieden formele vervolgstructuren, maar deze zijn zwaar en niet ontworpen als ontwikkelmodel.</w:t>
      </w:r>
    </w:p>
    <w:p>
      <w:pPr>
        <w:spacing w:after="100" w:line="269" w:lineRule="auto"/>
      </w:pPr>
      <w:r>
        <w:t>Besluitvormingsbreuk: vóór achttien jaar zijn ouders, GI, behandelaren en instellingen vaak dominante besluitnemers. Na achttien jaar verschuift de verwachting plotseling naar volledig eigen regie. Deze verschuiving is onhoudbaar wanneer de jongere onvoldoende heeft kunnen oefenen met ondersteunde keuzevorming.</w:t>
      </w:r>
    </w:p>
    <w:p>
      <w:pPr>
        <w:spacing w:after="100" w:line="269" w:lineRule="auto"/>
      </w:pPr>
      <w:r>
        <w:t>Institutionele breuk: jeugdorganisaties sturen op veiligheid, pedagogiek en trajectregie; volwassenzorg werkt vaker met indicaties, financieringslijnen, doelgroepafbakening en vrijwilligheidsconstructies. Daardoor ontstaat discontinuïteit in taal, normering en verantwoordelijkheidsverdeling.</w:t>
      </w:r>
    </w:p>
    <w:p>
      <w:pPr>
        <w:pStyle w:val="Heading1"/>
      </w:pPr>
      <w:r>
        <w:t>4. Gevolgen voor jongeren in de breukzone</w:t>
      </w:r>
    </w:p>
    <w:p>
      <w:pPr>
        <w:spacing w:after="100" w:line="269" w:lineRule="auto"/>
      </w:pPr>
      <w:r>
        <w:t>De systeembreuk leidt tot verhoogd risico op terugval, afhankelijkheidsbestendiging, escalatie van conflicten, verlies van netwerkrelaties en institutionele verlenging via semi-vrijwillige constructies. Jongeren met ASS-profielen, hechtingsproblematiek, stressdysregulatie of complexe loyaliteitsconflicten worden hierdoor disproportioneel geraakt.</w:t>
      </w:r>
    </w:p>
    <w:p>
      <w:pPr>
        <w:spacing w:after="100" w:line="269" w:lineRule="auto"/>
      </w:pPr>
      <w:r>
        <w:t>De breuk versterkt tevens het gevaar dat instellingen hun eigen logica doorzetten in de richting van volwassenzorg, zonder dat een volwaardige en toetsbare keuze van de jongere zichtbaar wordt. Daardoor kan feitelijke sturing worden voortgezet onder het mom van zorgcontinuïteit.</w:t>
      </w:r>
    </w:p>
    <w:p>
      <w:pPr>
        <w:pStyle w:val="Heading1"/>
      </w:pPr>
      <w:r>
        <w:t>5. Waarom SDM hier relevant wordt</w:t>
      </w:r>
    </w:p>
    <w:p>
      <w:pPr>
        <w:spacing w:after="100" w:line="269" w:lineRule="auto"/>
      </w:pPr>
      <w:r>
        <w:t>Supported Decision Making biedt een alternatief voor zowel abrupt loslaten als voortgezette institutionele overname. Het model erkent dat autonomie kan worden opgebouwd via ondersteunde besluitvorming, netwerkversterking, begrijpelijke informatie, micro-keuzes en toetsbare besluitvormingspaden.</w:t>
      </w:r>
    </w:p>
    <w:p>
      <w:pPr>
        <w:spacing w:after="100" w:line="269" w:lineRule="auto"/>
      </w:pPr>
      <w:r>
        <w:t>SDM moet echter worden geplaatst binnen een breder transitiekader. Zonder juridische verankering, handhaving en implementatie-eisen blijft SDM een sympathieke methode zonder doorzettingsmacht.</w:t>
      </w:r>
    </w:p>
    <w:p>
      <w:pPr>
        <w:pStyle w:val="Heading1"/>
      </w:pPr>
      <w:r>
        <w:t>6. Strategische conclusie</w:t>
      </w:r>
    </w:p>
    <w:p>
      <w:pPr>
        <w:spacing w:after="100" w:line="269" w:lineRule="auto"/>
      </w:pPr>
      <w:r>
        <w:t>De kloof tussen jeugd- en volwassenzorg wordt niet gedicht door een extra gesprek of los overgangsdocument, maar door een normatieve en operationele herinrichting van de besluitvorming in de leeftijdszone 16–23 jaar.</w:t>
      </w:r>
    </w:p>
    <w:p>
      <w:pPr>
        <w:spacing w:after="100" w:line="269" w:lineRule="auto"/>
      </w:pPr>
      <w:r>
        <w:t>Daarom vormt dit paper het startdocument van een bredere SDM-serie: eerst probleemanalyse, dan kernmodel, vervolgens juridische verankering, handhaving en tenslotte een volledig transitiemodel.</w:t>
      </w:r>
    </w:p>
    <w:p>
      <w:pPr>
        <w:pStyle w:val="Heading1"/>
      </w:pPr>
      <w:r>
        <w:t>8. Aanbevolen vervolgstappen</w:t>
      </w:r>
    </w:p>
    <w:p>
      <w:pPr>
        <w:pStyle w:val="ListBullet"/>
        <w:spacing w:after="40"/>
      </w:pPr>
      <w:r>
        <w:rPr>
          <w:rFonts w:ascii="Aptos" w:hAnsi="Aptos"/>
          <w:sz w:val="21"/>
        </w:rPr>
        <w:t>Gebruik dit paper als zelfstandig normatief document én als bouwsteen van de volledige SDM-serie.</w:t>
      </w:r>
    </w:p>
    <w:p>
      <w:pPr>
        <w:pStyle w:val="ListBullet"/>
        <w:spacing w:after="40"/>
      </w:pPr>
      <w:r>
        <w:rPr>
          <w:rFonts w:ascii="Aptos" w:hAnsi="Aptos"/>
          <w:sz w:val="21"/>
        </w:rPr>
        <w:t>Koppel de inhoud aan HPP003/P001 wanneer de overgang van jeugd naar volwassenzorg in een concreet dossier aan de orde is.</w:t>
      </w:r>
    </w:p>
    <w:p>
      <w:pPr>
        <w:pStyle w:val="ListBullet"/>
        <w:spacing w:after="40"/>
      </w:pPr>
      <w:r>
        <w:rPr>
          <w:rFonts w:ascii="Aptos" w:hAnsi="Aptos"/>
          <w:sz w:val="21"/>
        </w:rPr>
        <w:t>Werk, indien gewenst, de inhoud verder uit in modelbrieven, verzoekschriften, auditkaders en participatieplatform-inbreng.</w:t>
      </w:r>
    </w:p>
    <w:sectPr w:rsidR="00FC693F" w:rsidRPr="0006063C" w:rsidSect="00034616">
      <w:headerReference w:type="default" r:id="rId9"/>
      <w:footerReference w:type="default" r:id="rId10"/>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6"/>
      </w:rPr>
      <w:t>CIV-CARE – ondersteunde besluitvorming, transitie en rechtsbescherming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103F73"/>
        <w:sz w:val="16"/>
      </w:rPr>
      <w:t>CIV-CARE | SDM-serie | SDM001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1252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ptos" w:hAnsi="Aptos"/>
      <w:b/>
      <w:bCs/>
      <w:color w:val="103F73"/>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03F7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03F7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03F73"/>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103F73"/>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