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center"/>
      </w:pPr>
      <w:r>
        <w:rPr>
          <w:b/>
          <w:color w:val="2F465C"/>
          <w:sz w:val="26"/>
        </w:rPr>
        <w:t>CIV-CARE_HPP003_P108</w:t>
      </w:r>
    </w:p>
    <w:p>
      <w:pPr>
        <w:spacing w:after="40"/>
        <w:jc w:val="center"/>
      </w:pPr>
      <w:r>
        <w:rPr>
          <w:b/>
          <w:sz w:val="38"/>
        </w:rPr>
        <w:t>SHPP003-08 Herstel zonder winnaar of verliezer</w:t>
      </w:r>
    </w:p>
    <w:p>
      <w:pPr>
        <w:spacing w:after="320"/>
        <w:jc w:val="center"/>
      </w:pPr>
      <w:r>
        <w:rPr>
          <w:b/>
          <w:i/>
          <w:color w:val="2F465C"/>
          <w:sz w:val="25"/>
        </w:rPr>
        <w:t>Herstel van exitstrategieën, afronding van zorg en een alternatief voor juridisering</w:t>
      </w:r>
    </w:p>
    <w:p>
      <w:pPr>
        <w:spacing w:after="40"/>
      </w:pPr>
      <w:r>
        <w:rPr>
          <w:b/>
        </w:rPr>
        <w:t xml:space="preserve">Datum: </w:t>
      </w:r>
      <w:r>
        <w:t>20 januari 2026</w:t>
      </w:r>
    </w:p>
    <w:p>
      <w:pPr>
        <w:spacing w:after="40"/>
      </w:pPr>
      <w:r>
        <w:rPr>
          <w:b/>
        </w:rPr>
        <w:t xml:space="preserve">Versie: </w:t>
      </w:r>
      <w:r>
        <w:t>v0.9</w:t>
      </w:r>
    </w:p>
    <w:p>
      <w:pPr>
        <w:spacing w:after="40"/>
      </w:pPr>
      <w:r>
        <w:rPr>
          <w:b/>
        </w:rPr>
        <w:t xml:space="preserve">Status: </w:t>
      </w:r>
      <w:r>
        <w:t>Definitief concept (open voor publieke reflectie)</w:t>
      </w:r>
    </w:p>
    <w:p>
      <w:pPr>
        <w:spacing w:after="40"/>
      </w:pPr>
      <w:r>
        <w:rPr>
          <w:b/>
        </w:rPr>
        <w:t xml:space="preserve">Relevantie: </w:t>
      </w:r>
      <w:r>
        <w:t>Zeer hoog</w:t>
      </w:r>
    </w:p>
    <w:p>
      <w:pPr>
        <w:spacing w:after="40"/>
      </w:pPr>
      <w:r>
        <w:rPr>
          <w:b/>
        </w:rPr>
        <w:t xml:space="preserve">Doel: </w:t>
      </w:r>
      <w:r>
        <w:t>Normatief deelkader binnen de herstelreeks SHPP003; bruikbaar voor reflectie, analyse, tegenlezing en herstelgerichte duiding.</w:t>
      </w:r>
    </w:p>
    <w:p>
      <w:pPr>
        <w:spacing w:after="40"/>
      </w:pPr>
      <w:r>
        <w:rPr>
          <w:b/>
        </w:rPr>
        <w:t xml:space="preserve">Categorie: </w:t>
      </w:r>
      <w:r>
        <w:t>Position paper – herstelreeks SHPP003</w:t>
      </w:r>
    </w:p>
    <w:p>
      <w:pPr>
        <w:spacing w:after="40"/>
      </w:pPr>
      <w:r>
        <w:rPr>
          <w:b/>
        </w:rPr>
        <w:t xml:space="preserve">Bestandsnaam: </w:t>
      </w:r>
      <w:r>
        <w:t>CIV-CARE_HPP003_P108_SHPP003-08_Herstel_zonder_winnaar_of_verliezer_v0_9.docx</w:t>
      </w:r>
    </w:p>
    <w:p>
      <w:pPr>
        <w:spacing w:after="40"/>
      </w:pPr>
      <w:r>
        <w:rPr>
          <w:b/>
        </w:rPr>
        <w:t xml:space="preserve">Bronnotitie: </w:t>
      </w:r>
      <w:r>
        <w:t>Bron-PDF-set: civ-care-positionpapers-shpp003.zip Statusformulering “Definitief concept” is behouden, met toevoeging dat publieke reflectie nog openstaat.</w:t>
      </w:r>
    </w:p>
    <w:p>
      <w:pPr>
        <w:pBdr>
          <w:bottom w:val="single" w:sz="8" w:space="8" w:color="BFBFBF"/>
        </w:pBdr>
        <w:spacing w:after="200"/>
      </w:pPr>
    </w:p>
    <w:p>
      <w:pPr>
        <w:pStyle w:val="Heading1"/>
      </w:pPr>
      <w:r>
        <w:t>Executive Summary</w:t>
      </w:r>
    </w:p>
    <w:p>
      <w:r>
        <w:t>Deze position paper richt zich op het ontbreken van exitstrategieën en verantwoorde afronding. Zonder zicht op beëindiging verandert tijdelijke zorg ongemerkt in een permanent systeemkader.</w:t>
      </w:r>
    </w:p>
    <w:p>
      <w:r>
        <w:t>De paper werkt uit hoe zorg kan worden afgerond zonder schuld, gezichtsverlies of juridisering als eindbeeld. De bronstatus luidt “definitief concept” en blijft open voor publieke reflectie; die status wordt in deze pakketversie expliciet benoemd.</w:t>
      </w:r>
    </w:p>
    <w:p>
      <w:pPr>
        <w:pStyle w:val="IntenseQuote"/>
      </w:pPr>
      <w:r>
        <w:t>Voor deze documentset geldt dat versie en status niet stilzwijgend mogen worden verondersteld. Deze DOCX-publicatie neemt de bronstatus expliciet over en markeert broninconsistenties waar aanwezig. Voor deelname aan de competentie-gebaseerde samenwerking rond onderhoud en doorontwikkeling van deze normatieven kan worden verwezen naar civ-care.nl.</w:t>
      </w:r>
    </w:p>
    <w:p>
      <w:pPr>
        <w:pStyle w:val="Heading1"/>
      </w:pPr>
      <w:r>
        <w:t>Wijzigingsoverzicht</w:t>
      </w:r>
    </w:p>
    <w:p>
      <w:r>
        <w:t>Onderstaand overzicht borgt welke versie en status in deze publicatie zijn vastgelegd en maakt expliciet dat de inhoud in deze pakketversie als DOCX is opgenomen zonder beoogde materiële wijziging ten opzichte van de bron-PDF.</w:t>
      </w:r>
    </w:p>
    <w:tbl>
      <w:tblPr>
        <w:tblStyle w:val="TableGrid"/>
        <w:tblW w:type="auto" w:w="0"/>
        <w:tblLook w:firstColumn="1" w:firstRow="1" w:lastColumn="0" w:lastRow="0" w:noHBand="0" w:noVBand="1" w:val="04A0"/>
      </w:tblPr>
      <w:tblGrid>
        <w:gridCol w:w="2296"/>
        <w:gridCol w:w="2296"/>
        <w:gridCol w:w="2296"/>
        <w:gridCol w:w="2296"/>
      </w:tblGrid>
      <w:tr>
        <w:tc>
          <w:tcPr>
            <w:tcW w:type="dxa" w:w="2296"/>
            <w:shd w:fill="D9E1E7"/>
          </w:tcPr>
          <w:p>
            <w:pPr>
              <w:spacing w:after="0" w:line="264" w:lineRule="auto"/>
            </w:pPr>
            <w:r>
              <w:rPr>
                <w:b/>
              </w:rPr>
              <w:t>Versie</w:t>
            </w:r>
          </w:p>
        </w:tc>
        <w:tc>
          <w:tcPr>
            <w:tcW w:type="dxa" w:w="2296"/>
            <w:shd w:fill="D9E1E7"/>
          </w:tcPr>
          <w:p>
            <w:pPr>
              <w:spacing w:after="0" w:line="264" w:lineRule="auto"/>
            </w:pPr>
            <w:r>
              <w:rPr>
                <w:b/>
              </w:rPr>
              <w:t>Status</w:t>
            </w:r>
          </w:p>
        </w:tc>
        <w:tc>
          <w:tcPr>
            <w:tcW w:type="dxa" w:w="2296"/>
            <w:shd w:fill="D9E1E7"/>
          </w:tcPr>
          <w:p>
            <w:pPr>
              <w:spacing w:after="0" w:line="264" w:lineRule="auto"/>
            </w:pPr>
            <w:r>
              <w:rPr>
                <w:b/>
              </w:rPr>
              <w:t>Basis</w:t>
            </w:r>
          </w:p>
        </w:tc>
        <w:tc>
          <w:tcPr>
            <w:tcW w:type="dxa" w:w="2296"/>
            <w:shd w:fill="D9E1E7"/>
          </w:tcPr>
          <w:p>
            <w:pPr>
              <w:spacing w:after="0" w:line="264" w:lineRule="auto"/>
            </w:pPr>
            <w:r>
              <w:rPr>
                <w:b/>
              </w:rPr>
              <w:t>Kernwijziging / notitie</w:t>
            </w:r>
          </w:p>
        </w:tc>
      </w:tr>
      <w:tr>
        <w:tc>
          <w:tcPr>
            <w:tcW w:type="dxa" w:w="2296"/>
          </w:tcPr>
          <w:p>
            <w:pPr>
              <w:spacing w:after="0" w:line="264" w:lineRule="auto"/>
            </w:pPr>
            <w:r>
              <w:t>v0.9</w:t>
            </w:r>
          </w:p>
        </w:tc>
        <w:tc>
          <w:tcPr>
            <w:tcW w:type="dxa" w:w="2296"/>
          </w:tcPr>
          <w:p>
            <w:pPr>
              <w:spacing w:after="0" w:line="264" w:lineRule="auto"/>
            </w:pPr>
            <w:r>
              <w:t>Definitief concept (open voor publieke reflectie)</w:t>
            </w:r>
          </w:p>
        </w:tc>
        <w:tc>
          <w:tcPr>
            <w:tcW w:type="dxa" w:w="2296"/>
          </w:tcPr>
          <w:p>
            <w:pPr>
              <w:spacing w:after="0" w:line="264" w:lineRule="auto"/>
            </w:pPr>
            <w:r>
              <w:t>Overgenomen uit bron-PDF-set v0.9</w:t>
            </w:r>
          </w:p>
        </w:tc>
        <w:tc>
          <w:tcPr>
            <w:tcW w:type="dxa" w:w="2296"/>
          </w:tcPr>
          <w:p>
            <w:pPr>
              <w:spacing w:after="0" w:line="264" w:lineRule="auto"/>
            </w:pPr>
            <w:r>
              <w:t>Inhoud overgenomen uit bron-PDF en in dit pakket als DOCX geplaatst; versie en status expliciet vastgelegd. Statusformulering “Definitief concept” is behouden, met toevoeging dat publieke reflectie nog openstaat.</w:t>
            </w:r>
          </w:p>
        </w:tc>
      </w:tr>
    </w:tbl>
    <w:p/>
    <w:p>
      <w:pPr>
        <w:pStyle w:val="Heading1"/>
      </w:pPr>
      <w:r>
        <w:t>0. Introductie (publiek)</w:t>
      </w:r>
    </w:p>
    <w:p>
      <w:r>
        <w:t>Zorg zonder zicht op afronding verandert onmerkbaar in een permanent systeemkader. Wat begon als ondersteuning, wordt een toestand. Wat tijdelijk was, krijgt geen einde. Niet omdat herstel onmogelijk is, maar omdat afsluiten niet is georganiseerd. Deze sub herstel positionpaper stelt een kernvraag centraal: wanneer en hoe mag zorg eindigen, zonder falen, schuld of juridisering?</w:t>
      </w:r>
    </w:p>
    <w:p>
      <w:pPr>
        <w:pStyle w:val="Heading1"/>
      </w:pPr>
      <w:r>
        <w:t>1. Probleemstelling</w:t>
      </w:r>
    </w:p>
    <w:p>
      <w:r>
        <w:t>In veel zorgketens ontbreekt een expliciete exitstrategie. Daardoor:</w:t>
      </w:r>
    </w:p>
    <w:p>
      <w:pPr>
        <w:pStyle w:val="ListBullet"/>
        <w:spacing w:after="40"/>
      </w:pPr>
      <w:r>
        <w:t>wordt afronding vermeden;</w:t>
      </w:r>
    </w:p>
    <w:p>
      <w:pPr>
        <w:pStyle w:val="ListBullet"/>
        <w:spacing w:after="40"/>
      </w:pPr>
      <w:r>
        <w:t>blijft zorg doorlopen “bij gebrek aan alternatief”;</w:t>
      </w:r>
    </w:p>
    <w:p>
      <w:pPr>
        <w:pStyle w:val="ListBullet"/>
        <w:spacing w:after="40"/>
      </w:pPr>
      <w:r>
        <w:t>verschuift de focus van herstel naar beheer.</w:t>
      </w:r>
    </w:p>
    <w:p>
      <w:r>
        <w:t>Het ontbreken van een exit is geen neutrale omissie, maar een structureel risico voor rechtspositie, autonomie en menselijke waardigheid.</w:t>
      </w:r>
    </w:p>
    <w:p>
      <w:pPr>
        <w:pStyle w:val="Heading1"/>
      </w:pPr>
      <w:r>
        <w:t>2. Normatief uitgangspunt</w:t>
      </w:r>
    </w:p>
    <w:p>
      <w:r>
        <w:t>Zorg is per definitie tijdelijk en doelgericht. Een exitstrategie is geen optionele bijlage, maar een integraal onderdeel van verantwoorde zorg.</w:t>
      </w:r>
    </w:p>
    <w:p>
      <w:r>
        <w:t>Herstel van exitstrategieën betekent:</w:t>
      </w:r>
    </w:p>
    <w:p>
      <w:pPr>
        <w:pStyle w:val="ListBullet"/>
        <w:spacing w:after="40"/>
      </w:pPr>
      <w:r>
        <w:t>vooraf nadenken over afronding;</w:t>
      </w:r>
    </w:p>
    <w:p>
      <w:pPr>
        <w:pStyle w:val="ListBullet"/>
        <w:spacing w:after="40"/>
      </w:pPr>
      <w:r>
        <w:t>tussentijds toetsen of afronding mogelijk is;</w:t>
      </w:r>
    </w:p>
    <w:p>
      <w:pPr>
        <w:pStyle w:val="ListBullet"/>
        <w:spacing w:after="40"/>
      </w:pPr>
      <w:r>
        <w:t>afronden zonder dat dit als mislukking wordt geframed.</w:t>
      </w:r>
    </w:p>
    <w:p>
      <w:pPr>
        <w:pStyle w:val="Heading1"/>
      </w:pPr>
      <w:r>
        <w:t>3. Hoe zorg vastloopt zonder exit</w:t>
      </w:r>
    </w:p>
    <w:p>
      <w:r>
        <w:t>Zorgrelaties lopen vast wanneer:</w:t>
      </w:r>
    </w:p>
    <w:p>
      <w:pPr>
        <w:pStyle w:val="ListBullet"/>
        <w:spacing w:after="40"/>
      </w:pPr>
      <w:r>
        <w:t>afronding wordt uitgesteld uit voorzichtigheid;</w:t>
      </w:r>
    </w:p>
    <w:p>
      <w:pPr>
        <w:pStyle w:val="ListBullet"/>
        <w:spacing w:after="40"/>
      </w:pPr>
      <w:r>
        <w:t>verantwoordelijkheid voor beëindiging diffuus is;</w:t>
      </w:r>
    </w:p>
    <w:p>
      <w:pPr>
        <w:pStyle w:val="ListBullet"/>
        <w:spacing w:after="40"/>
      </w:pPr>
      <w:r>
        <w:t>afsluiten wordt gezien als “loslaten” of “risico nemen”.</w:t>
      </w:r>
    </w:p>
    <w:p>
      <w:r>
        <w:t>Zo ontstaat zorg die niemand expliciet verlengt, maar ook niemand beëindigt.</w:t>
      </w:r>
    </w:p>
    <w:p>
      <w:pPr>
        <w:pStyle w:val="Heading1"/>
      </w:pPr>
      <w:r>
        <w:t>4. Exitstrategieën als herstelinstrument</w:t>
      </w:r>
    </w:p>
    <w:p>
      <w:r>
        <w:t>Een exitstrategie:</w:t>
      </w:r>
    </w:p>
    <w:p>
      <w:pPr>
        <w:pStyle w:val="ListBullet"/>
        <w:spacing w:after="40"/>
      </w:pPr>
      <w:r>
        <w:t>is geen breuk, maar een geleidelijke overgang;</w:t>
      </w:r>
    </w:p>
    <w:p>
      <w:pPr>
        <w:pStyle w:val="ListBullet"/>
        <w:spacing w:after="40"/>
      </w:pPr>
      <w:r>
        <w:t>richt zich op overdracht, niet op abrupt stoppen;</w:t>
      </w:r>
    </w:p>
    <w:p>
      <w:pPr>
        <w:pStyle w:val="ListBullet"/>
        <w:spacing w:after="40"/>
      </w:pPr>
      <w:r>
        <w:t>versterkt autonomie en netwerk in plaats van afhankelijkheid.</w:t>
      </w:r>
    </w:p>
    <w:p>
      <w:r>
        <w:t>Exit is geen einde van zorgzaamheid, maar een verandering van positie.</w:t>
      </w:r>
    </w:p>
    <w:p>
      <w:pPr>
        <w:pStyle w:val="Heading1"/>
      </w:pPr>
      <w:r>
        <w:t>5. Afronding zonder schuld of strijd</w:t>
      </w:r>
    </w:p>
    <w:p>
      <w:r>
        <w:t>Deze paper bepleit afronding:</w:t>
      </w:r>
    </w:p>
    <w:p>
      <w:pPr>
        <w:pStyle w:val="ListBullet"/>
        <w:spacing w:after="40"/>
      </w:pPr>
      <w:r>
        <w:t>zonder juridische escalatie;</w:t>
      </w:r>
    </w:p>
    <w:p>
      <w:pPr>
        <w:pStyle w:val="ListBullet"/>
        <w:spacing w:after="40"/>
      </w:pPr>
      <w:r>
        <w:t>zonder schuldtoewijzing;</w:t>
      </w:r>
    </w:p>
    <w:p>
      <w:pPr>
        <w:pStyle w:val="ListBullet"/>
        <w:spacing w:after="40"/>
      </w:pPr>
      <w:r>
        <w:t>zonder het zoeken naar “fouten” om beëindiging te legitimeren.</w:t>
      </w:r>
    </w:p>
    <w:p>
      <w:r>
        <w:t>Zorg mag eindigen omdat zij haar doel heeft gediend, niet omdat zij juridisch wordt aangevochten.</w:t>
      </w:r>
    </w:p>
    <w:p>
      <w:pPr>
        <w:pStyle w:val="Heading1"/>
      </w:pPr>
      <w:r>
        <w:t>6. Tegenlezers-vraagset (integraal onderdeel)</w:t>
      </w:r>
    </w:p>
    <w:p>
      <w:r>
        <w:t>Doel Deze vragen helpen om exitloosheid zichtbaar te maken en afronding bespreekbaar te houden.</w:t>
      </w:r>
    </w:p>
    <w:p>
      <w:r>
        <w:t>A. Aanvang en verwachting</w:t>
      </w:r>
    </w:p>
    <w:p>
      <w:pPr>
        <w:spacing w:before="80" w:after="40"/>
      </w:pPr>
      <w:r>
        <w:rPr>
          <w:b/>
          <w:color w:val="2F465C"/>
        </w:rPr>
        <w:t>1. Is bij aanvang van de zorg gesproken over mogelijke afronding?</w:t>
      </w:r>
    </w:p>
    <w:p>
      <w:pPr>
        <w:pStyle w:val="Heading1"/>
      </w:pPr>
      <w:r>
        <w:t>2. Welke signalen zouden aangeven dat zorg kan eindigen?</w:t>
      </w:r>
    </w:p>
    <w:p>
      <w:pPr>
        <w:pStyle w:val="Heading1"/>
      </w:pPr>
      <w:r>
        <w:t>3. Is zorg gestart met een impliciete verwachting van onbepaalde duur?</w:t>
      </w:r>
    </w:p>
    <w:p>
      <w:r>
        <w:t>B. Verantwoordelijkheid voor afronding</w:t>
      </w:r>
    </w:p>
    <w:p>
      <w:pPr>
        <w:pStyle w:val="Heading1"/>
      </w:pPr>
      <w:r>
        <w:t>4. Wie is expliciet verantwoordelijk voor het initiëren van afronding?</w:t>
      </w:r>
    </w:p>
    <w:p>
      <w:pPr>
        <w:pStyle w:val="Heading1"/>
      </w:pPr>
      <w:r>
        <w:t>5. Is deze verantwoordelijkheid belegd of vermeden?</w:t>
      </w:r>
    </w:p>
    <w:p>
      <w:pPr>
        <w:pStyle w:val="Heading1"/>
      </w:pPr>
      <w:r>
        <w:t>6. Wat gebeurt er als niemand het exitgesprek voert?</w:t>
      </w:r>
    </w:p>
    <w:p>
      <w:r>
        <w:t>C. Duur en afhankelijkheid</w:t>
      </w:r>
    </w:p>
    <w:p>
      <w:pPr>
        <w:pStyle w:val="Heading1"/>
      </w:pPr>
      <w:r>
        <w:t>7. Welke afhankelijkheden zijn in de loop der tijd ontstaan?</w:t>
      </w:r>
    </w:p>
    <w:p>
      <w:pPr>
        <w:pStyle w:val="Heading1"/>
      </w:pPr>
      <w:r>
        <w:t>8. Worden deze afhankelijkheden actief afgebouwd?</w:t>
      </w:r>
    </w:p>
    <w:p>
      <w:pPr>
        <w:pStyle w:val="Heading1"/>
      </w:pPr>
      <w:r>
        <w:t>9. Wordt voortzetting gelegitimeerd door de zorg zelf?</w:t>
      </w:r>
    </w:p>
    <w:p>
      <w:r>
        <w:t>D. Angst en risico</w:t>
      </w:r>
    </w:p>
    <w:p>
      <w:pPr>
        <w:pStyle w:val="Heading1"/>
      </w:pPr>
      <w:r>
        <w:t>10. Welke angsten spelen een rol bij beëindiging?</w:t>
      </w:r>
    </w:p>
    <w:p>
      <w:pPr>
        <w:pStyle w:val="Heading1"/>
      </w:pPr>
      <w:r>
        <w:t>11. Wordt risico vermeden door zorg te verlengen?</w:t>
      </w:r>
    </w:p>
    <w:p>
      <w:pPr>
        <w:pStyle w:val="Heading1"/>
      </w:pPr>
      <w:r>
        <w:t>12. Wie draagt de gevolgen van niet-afronden?</w:t>
      </w:r>
    </w:p>
    <w:p>
      <w:r>
        <w:t>E. Betrokkene en netwerk</w:t>
      </w:r>
    </w:p>
    <w:p>
      <w:pPr>
        <w:pStyle w:val="Heading1"/>
      </w:pPr>
      <w:r>
        <w:t>13. Heeft de betrokkene zicht op afronding?</w:t>
      </w:r>
    </w:p>
    <w:p>
      <w:pPr>
        <w:pStyle w:val="Heading1"/>
      </w:pPr>
      <w:r>
        <w:t>14. Wordt afscheid besproken of vermeden?</w:t>
      </w:r>
    </w:p>
    <w:p>
      <w:pPr>
        <w:pStyle w:val="Heading1"/>
      </w:pPr>
      <w:r>
        <w:t>15. Is het netwerk voorbereid op overdracht van regie?</w:t>
      </w:r>
    </w:p>
    <w:p>
      <w:r>
        <w:t>F. Morele kernvragen</w:t>
      </w:r>
    </w:p>
    <w:p>
      <w:pPr>
        <w:pStyle w:val="Heading1"/>
      </w:pPr>
      <w:r>
        <w:t>16. Voor wie is voortzetting comfortabeler dan afronding?</w:t>
      </w:r>
    </w:p>
    <w:p>
      <w:pPr>
        <w:pStyle w:val="Heading1"/>
      </w:pPr>
      <w:r>
        <w:t>17. Wanneer wordt zorg een substituut voor vertrouwen?</w:t>
      </w:r>
    </w:p>
    <w:p>
      <w:pPr>
        <w:pStyle w:val="Heading1"/>
      </w:pPr>
      <w:r>
        <w:t>18. Wat vraagt meer professionaliteit: vasthouden of afronden?</w:t>
      </w:r>
    </w:p>
    <w:p>
      <w:r>
        <w:t>Slotvraag Durven wij zorg te beëindigen als herstel mogelijk is, ook zonder absolute zekerheid?</w:t>
      </w:r>
    </w:p>
    <w:p>
      <w:pPr>
        <w:pStyle w:val="Heading1"/>
      </w:pPr>
      <w:r>
        <w:t>7. Positionele afronding</w:t>
      </w:r>
    </w:p>
    <w:p>
      <w:r>
        <w:t>Zorg die niet kan eindigen, verliest haar herstelkarakter. Herstel vraagt om durven loslaten, structureren van afscheid en erkenning van groei. Een goede exit is geen falen, maar het bewijs dat zorg haar doel heeft bereikt.</w:t>
      </w:r>
    </w:p>
    <w:p>
      <w:pPr>
        <w:pStyle w:val="Heading1"/>
      </w:pPr>
      <w:r>
        <w:t>8. Publieke call-to-action (CIV-CARE / DeKVSW)</w:t>
      </w:r>
    </w:p>
    <w:p>
      <w:r>
        <w:t>Deze sub herstel positionpaper sluit de CIV-CARE herstelreeks af, maar opent het gesprek. Reflecteer en reageer via www.dekvsw.nl Gebruik deze paper in afrondingsgesprekken, beleid en toezicht Deel voorbeelden van zorg die goed kon eindigen Help exitstrategieën normaliseren in zorgpraktijk en governance</w:t>
      </w:r>
    </w:p>
    <w:p>
      <w:r>
        <w:t>Slotzin CIV-CARE Zorg die mag eindigen, blijft menselijk.</w:t>
      </w:r>
    </w:p>
    <w:p>
      <w:r>
        <w:t>📄 Governance en versiestandaard (CIV-CARE)</w:t>
      </w:r>
    </w:p>
    <w:p>
      <w:pPr>
        <w:pStyle w:val="Heading1"/>
      </w:pPr>
      <w:r>
        <w:t>Versiestandaard en governance (CIV-CARE)</w:t>
      </w:r>
    </w:p>
    <w:p>
      <w:r>
        <w:t>De Herstel-Positionpapers binnen de CIV-CARE P001-reeks (HPP003+SHPP003) worden ontwikkeld en gepubliceerd volgens een expliciete versiestandaard, gericht op transparantie, toetsbaarheid en zorgvuldige normontwikkeling.</w:t>
      </w:r>
    </w:p>
    <w:p>
      <w:r>
        <w:t>Versienummering Binnen deze reeks wordt het volgende onderscheid gehanteerd:</w:t>
      </w:r>
    </w:p>
    <w:p>
      <w:r>
        <w:t>v0.9 – Concept (open voor publieke reflectie) De inhoudelijke structuur, begrippen en normatieve uitgangspunten zijn afgerond en coherent. Het document is geschikt voor inhoudelijke toetsing, discussie en tegenlezing door professionals, cliënten, toezichthouders en andere betrokkenen. Wijzigingen betreffen uitsluitend aanscherping, verduidelijking of onderbouwing, niet het fundamentele kader.</w:t>
      </w:r>
    </w:p>
    <w:p>
      <w:r>
        <w:t>v1.0 – Vastgesteld kaderdocument Het document is formeel vastgesteld door Stichting De Kamer van Sociale Waarden. De inhoud wordt beschouwd als normatief referentiekader binnen CIV-CARE en kan worden ingezet in dossiers, beleidsreflectie, toezicht en rechtsbescherming.</w:t>
      </w:r>
    </w:p>
    <w:p>
      <w:r>
        <w:t>Governance-uitgangspunten Deze versiestandaard waarborgt dat: – normatieve kaders niet achter gesloten deuren worden vastgesteld; – publieke reflectie en professionele tegenlezing expliciet onderdeel zijn van het ontwikkelproces; – openheid niet voortkomt uit inhoudelijke onvolwassenheid, maar uit democratische en rechtsstatelijke zorgvuldigheid. De status “open voor publieke reflectie” impliceert nadrukkelijk geen vrijblijvendheid, maar een uitnodiging tot beargumenteerde toetsing en dialoog.</w:t>
      </w:r>
    </w:p>
    <w:p>
      <w:r>
        <w:t>Publieke Call-to-Action Van analyse naar ontmoeting De CIV-CARE herstelreeks (HPP003+SHPP003) is geen afgerond antwoord, maar een open uitnodiging. Een uitnodiging om stil te staan bij zorg die vastloopt. Om te erkennen dat voortzetting niet altijd gelijkstaat aan vooruitgang. En om te onderzoeken waar herstel ruimte nodig heeft — vóórdat escalatie onomkeerbaar wordt. Wij nodigen u uit om:</w:t>
      </w:r>
    </w:p>
    <w:p>
      <w:pPr>
        <w:pStyle w:val="ListBullet"/>
        <w:spacing w:after="40"/>
      </w:pPr>
      <w:r>
        <w:t>deze sub-positionpaper te lezen en bevragen;</w:t>
      </w:r>
    </w:p>
    <w:p>
      <w:pPr>
        <w:pStyle w:val="ListBullet"/>
        <w:spacing w:after="40"/>
      </w:pPr>
      <w:r>
        <w:t>uw kritiek, twijfel of instemming te delen;</w:t>
      </w:r>
    </w:p>
    <w:p>
      <w:pPr>
        <w:pStyle w:val="ListBullet"/>
        <w:spacing w:after="40"/>
      </w:pPr>
      <w:r>
        <w:t>ervaringen te benoemen waarin zorg vastliep — of juist herstelde;</w:t>
      </w:r>
    </w:p>
    <w:p>
      <w:pPr>
        <w:pStyle w:val="ListBullet"/>
        <w:spacing w:after="40"/>
      </w:pPr>
      <w:r>
        <w:t>bij te dragen aan een gesprek over menselijke maat, proportionaliteit en herstel in zorgketens.</w:t>
      </w:r>
    </w:p>
    <w:p>
      <w:r>
        <w:t>Op het CIV-CARE platform is ruimte voor:</w:t>
      </w:r>
    </w:p>
    <w:p>
      <w:pPr>
        <w:pStyle w:val="ListBullet"/>
        <w:spacing w:after="40"/>
      </w:pPr>
      <w:r>
        <w:t>reflectie van professionals, bestuurders en toezichthouders;</w:t>
      </w:r>
    </w:p>
    <w:p>
      <w:pPr>
        <w:pStyle w:val="ListBullet"/>
        <w:spacing w:after="40"/>
      </w:pPr>
      <w:r>
        <w:t>perspectieven van cliënten en naasten;</w:t>
      </w:r>
    </w:p>
    <w:p>
      <w:pPr>
        <w:pStyle w:val="ListBullet"/>
        <w:spacing w:after="40"/>
      </w:pPr>
      <w:r>
        <w:t>dialoog zonder bewijsdruk of positiegedrag.</w:t>
      </w:r>
    </w:p>
    <w:p>
      <w:r>
        <w:t>Reageren kan onder deze publicatie op CIV-CARE.nl en dekvsw.nl. Uw bijdrage hoeft geen oplossing te zijn. Zij hoeft alleen eerlijk te zijn. Herstel begint niet bij gelijk krijgen, maar bij ruimte maken. Maak die ruimte mee.</w:t>
      </w:r>
    </w:p>
    <w:p>
      <w:pPr>
        <w:pStyle w:val="Heading1"/>
      </w:pPr>
      <w:r>
        <w:t>Versiestatus, onderhoud en deelname</w:t>
      </w:r>
    </w:p>
    <w:p>
      <w:r>
        <w:t>Deze DOCX-versie volgt de inhoud van de bron-PDF zonder beoogde materiële wijziging. Waar bronbestandsnaam, versieregel of statusformulering uiteenlopen, is dat in dit document expliciet gemaakt in plaats van stilzwijgend geharmoniseerd.</w:t>
      </w:r>
    </w:p>
    <w:p>
      <w:r>
        <w:t>Deze position paper staat binnen de CIV-CARE-herstelreeks open voor beargumenteerde reflectie, tegenlezing en doorontwikkeling. Voor deelname aan de op competentie gebaseerde samenwerking rond onderhoud van deze normatieven kan worden verwezen naar civ-care.nl.</w:t>
      </w:r>
    </w:p>
    <w:sectPr w:rsidR="00FC693F" w:rsidRPr="0006063C" w:rsidSect="00034616">
      <w:pgSz w:w="11906" w:h="16838"/>
      <w:pgMar w:top="1361" w:right="1361" w:bottom="1247" w:left="136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20" w:line="283" w:lineRule="auto"/>
    </w:pPr>
    <w:rPr>
      <w:rFonts w:ascii="Aptos" w:hAnsi="Aptos"/>
      <w:color w:val="181818"/>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200" w:after="100"/>
      <w:outlineLvl w:val="0"/>
    </w:pPr>
    <w:rPr>
      <w:rFonts w:asciiTheme="majorHAnsi" w:eastAsiaTheme="majorEastAsia" w:hAnsiTheme="majorHAnsi" w:cstheme="majorBidi" w:ascii="Aptos" w:hAnsi="Aptos"/>
      <w:b/>
      <w:bCs/>
      <w:color w:val="2F465C"/>
      <w:sz w:val="32"/>
      <w:szCs w:val="28"/>
    </w:rPr>
  </w:style>
  <w:style w:type="paragraph" w:styleId="Heading2">
    <w:name w:val="heading 2"/>
    <w:basedOn w:val="Normal"/>
    <w:next w:val="Normal"/>
    <w:link w:val="Heading2Char"/>
    <w:uiPriority w:val="9"/>
    <w:unhideWhenUsed/>
    <w:qFormat/>
    <w:rsid w:val="00FC693F"/>
    <w:pPr>
      <w:keepNext/>
      <w:keepLines/>
      <w:spacing w:before="200" w:after="100"/>
      <w:outlineLvl w:val="1"/>
    </w:pPr>
    <w:rPr>
      <w:rFonts w:asciiTheme="majorHAnsi" w:eastAsiaTheme="majorEastAsia" w:hAnsiTheme="majorHAnsi" w:cstheme="majorBidi" w:ascii="Aptos" w:hAnsi="Aptos"/>
      <w:b/>
      <w:bCs/>
      <w:color w:val="2F465C"/>
      <w:sz w:val="28"/>
      <w:szCs w:val="26"/>
    </w:rPr>
  </w:style>
  <w:style w:type="paragraph" w:styleId="Heading3">
    <w:name w:val="heading 3"/>
    <w:basedOn w:val="Normal"/>
    <w:next w:val="Normal"/>
    <w:link w:val="Heading3Char"/>
    <w:uiPriority w:val="9"/>
    <w:unhideWhenUsed/>
    <w:qFormat/>
    <w:rsid w:val="00FC693F"/>
    <w:pPr>
      <w:keepNext/>
      <w:keepLines/>
      <w:spacing w:before="200" w:after="100"/>
      <w:outlineLvl w:val="2"/>
    </w:pPr>
    <w:rPr>
      <w:rFonts w:asciiTheme="majorHAnsi" w:eastAsiaTheme="majorEastAsia" w:hAnsiTheme="majorHAnsi" w:cstheme="majorBidi" w:ascii="Aptos" w:hAnsi="Aptos"/>
      <w:b/>
      <w:bCs/>
      <w:color w:val="2F465C"/>
      <w:sz w:val="24"/>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