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CIV-CARE_HPP003_P104</w:t>
      </w:r>
    </w:p>
    <w:p>
      <w:pPr>
        <w:spacing w:after="40"/>
        <w:jc w:val="center"/>
      </w:pPr>
      <w:r>
        <w:rPr>
          <w:b/>
          <w:sz w:val="38"/>
        </w:rPr>
        <w:t>SHPP003-04 Herstel van directe communicatie</w:t>
      </w:r>
    </w:p>
    <w:p>
      <w:pPr>
        <w:spacing w:after="320"/>
        <w:jc w:val="center"/>
      </w:pPr>
      <w:r>
        <w:rPr>
          <w:b/>
          <w:i/>
          <w:color w:val="2F465C"/>
          <w:sz w:val="25"/>
        </w:rPr>
        <w:t>Van vertegenwoordiging naar ontmoeting</w:t>
      </w:r>
    </w:p>
    <w:p>
      <w:pPr>
        <w:spacing w:after="40"/>
      </w:pPr>
      <w:r>
        <w:rPr>
          <w:b/>
        </w:rPr>
        <w:t xml:space="preserve">Datum: </w:t>
      </w:r>
      <w:r>
        <w:t>20 januari 2026</w:t>
      </w:r>
    </w:p>
    <w:p>
      <w:pPr>
        <w:spacing w:after="40"/>
      </w:pPr>
      <w:r>
        <w:rPr>
          <w:b/>
        </w:rPr>
        <w:t xml:space="preserve">Versie: </w:t>
      </w:r>
      <w:r>
        <w:t>v0.9 – inhoudelijk afgerond, expliciet bestemd voor dialoog,</w:t>
      </w:r>
    </w:p>
    <w:p>
      <w:pPr>
        <w:spacing w:after="40"/>
      </w:pPr>
      <w:r>
        <w:rPr>
          <w:b/>
        </w:rPr>
        <w:t xml:space="preserve">Status: </w:t>
      </w:r>
      <w:r>
        <w:t>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CIV-CARE_HPP003_P104_SHPP003-04_Herstel_van_directe_communicatie_v0_9.docx</w:t>
      </w:r>
    </w:p>
    <w:p>
      <w:pPr>
        <w:spacing w:after="40"/>
      </w:pPr>
      <w:r>
        <w:rPr>
          <w:b/>
        </w:rPr>
        <w:t xml:space="preserve">Bronnotitie: </w:t>
      </w:r>
      <w:r>
        <w:t>Bron-PDF-set: civ-care-positionpapers-shpp003.zip</w:t>
      </w:r>
    </w:p>
    <w:p>
      <w:pPr>
        <w:pBdr>
          <w:bottom w:val="single" w:sz="8" w:space="8" w:color="BFBFBF"/>
        </w:pBdr>
        <w:spacing w:after="200"/>
      </w:pPr>
    </w:p>
    <w:p>
      <w:pPr>
        <w:pStyle w:val="Heading1"/>
      </w:pPr>
      <w:r>
        <w:t>Executive Summary</w:t>
      </w:r>
    </w:p>
    <w:p>
      <w:r>
        <w:t>Deze position paper behandelt directe communicatie als herstelvoorwaarde in plaats van risico. Waar dossiers, vertegenwoordiging en systeemfilters het gesprek overnemen, verdwijnt relationele ruimte en verschraalt herstel.</w:t>
      </w:r>
    </w:p>
    <w:p>
      <w:r>
        <w:t>De paper verdedigt ontmoeting vóór beoordeling en maakt zichtbaar hoe indirecte communicatie een machtsmechanisme kan worden. De bronstatus is concept, open voor publieke reflectie en expliciet bestemd voor dialoog, tegenlezing en maatschappelijke reflectie.</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 – inhoudelijk afgerond, expliciet bestemd voor dialoog,</w:t>
            </w:r>
          </w:p>
        </w:tc>
        <w:tc>
          <w:tcPr>
            <w:tcW w:type="dxa" w:w="2296"/>
          </w:tcPr>
          <w:p>
            <w:pPr>
              <w:spacing w:after="0" w:line="264" w:lineRule="auto"/>
            </w:pPr>
            <w:r>
              <w:t>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w:t>
            </w:r>
          </w:p>
        </w:tc>
      </w:tr>
    </w:tbl>
    <w:p/>
    <w:p>
      <w:pPr>
        <w:pStyle w:val="Heading1"/>
      </w:pPr>
      <w:r>
        <w:t>0. Inleiding – waarom deze herstelpositionpaper</w:t>
      </w:r>
    </w:p>
    <w:p>
      <w:r>
        <w:t>In veel vastgelopen zorgrelaties verdwijnt directe communicatie niet door onwil van betrokkenen, maar door systeemlogica. Vertegenwoordiging, verslaglegging, risicotaal en procesafspraken nemen het gesprek over. Deze sub-herstelpositionpaper stelt één eenvoudige maar fundamentele vraag centraal: Wat gebeurt er als mensen weer rechtstreeks met elkaar mogen spreken? Niet om schuld vast te stellen. Niet om bewijs te verzamelen. Maar om contact te herstellen waar zorg is vastgelopen.</w:t>
      </w:r>
    </w:p>
    <w:p>
      <w:pPr>
        <w:pStyle w:val="Heading1"/>
      </w:pPr>
      <w:r>
        <w:t>1. Probleemschets</w:t>
      </w:r>
    </w:p>
    <w:p>
      <w:r>
        <w:t>Binnen zorg- en beschermingsketens ontstaat vaak een situatie waarin:</w:t>
      </w:r>
    </w:p>
    <w:p>
      <w:pPr>
        <w:pStyle w:val="ListBullet"/>
        <w:spacing w:after="40"/>
      </w:pPr>
      <w:r>
        <w:t>gesprekken over mensen plaatsvinden, niet met mensen;</w:t>
      </w:r>
    </w:p>
    <w:p>
      <w:pPr>
        <w:pStyle w:val="ListBullet"/>
        <w:spacing w:after="40"/>
      </w:pPr>
      <w:r>
        <w:t>communicatie verloopt via rapportages, bemiddelaars of vertegenwoordigers;</w:t>
      </w:r>
    </w:p>
    <w:p>
      <w:pPr>
        <w:pStyle w:val="ListBullet"/>
        <w:spacing w:after="40"/>
      </w:pPr>
      <w:r>
        <w:t>direct contact als “te belastend”, “onveilig” of “onwenselijk” wordt bestempeld;</w:t>
      </w:r>
    </w:p>
    <w:p>
      <w:pPr>
        <w:pStyle w:val="ListBullet"/>
        <w:spacing w:after="40"/>
      </w:pPr>
      <w:r>
        <w:t>betrokkenen elkaar niet meer ontmoeten, maar wel over elkaar beslissen.</w:t>
      </w:r>
    </w:p>
    <w:p>
      <w:r>
        <w:t>Deze indirectheid wordt vaak gerechtvaardigd als professioneel of zorgvuldig, maar heeft in de praktijk een tegenovergesteld effect:</w:t>
      </w:r>
    </w:p>
    <w:p>
      <w:r>
        <w:t>Het probleem wordt groter naarmate er minder rechtstreeks wordt gesproken.</w:t>
      </w:r>
    </w:p>
    <w:p>
      <w:pPr>
        <w:pStyle w:val="Heading1"/>
      </w:pPr>
      <w:r>
        <w:t>2. Herstelkader: directe communicatie als</w:t>
      </w:r>
    </w:p>
    <w:p>
      <w:r>
        <w:t>voorwaarde voor herstel Deze herstelpositionpaper vertrekt vanuit het uitgangspunt dat:</w:t>
      </w:r>
    </w:p>
    <w:p>
      <w:pPr>
        <w:pStyle w:val="ListBullet"/>
        <w:spacing w:after="40"/>
      </w:pPr>
      <w:r>
        <w:t>directe communicatie geen risico is, maar een herstelvoorwaarde;</w:t>
      </w:r>
    </w:p>
    <w:p>
      <w:pPr>
        <w:pStyle w:val="ListBullet"/>
        <w:spacing w:after="40"/>
      </w:pPr>
      <w:r>
        <w:t>ontmoeting voorafgaat aan beoordeling;</w:t>
      </w:r>
    </w:p>
    <w:p>
      <w:pPr>
        <w:pStyle w:val="ListBullet"/>
        <w:spacing w:after="40"/>
      </w:pPr>
      <w:r>
        <w:t>relationeel herstel niet kan worden uitbesteed aan systemen.</w:t>
      </w:r>
    </w:p>
    <w:p>
      <w:r>
        <w:t>Directe communicatie betekent hier:</w:t>
      </w:r>
    </w:p>
    <w:p>
      <w:pPr>
        <w:pStyle w:val="ListBullet"/>
        <w:spacing w:after="40"/>
      </w:pPr>
      <w:r>
        <w:t>fysiek of digitaal contact tussen betrokkenen;</w:t>
      </w:r>
    </w:p>
    <w:p>
      <w:pPr>
        <w:pStyle w:val="ListBullet"/>
        <w:spacing w:after="40"/>
      </w:pPr>
      <w:r>
        <w:t>zonder vooraf gefilterde narratieven;</w:t>
      </w:r>
    </w:p>
    <w:p>
      <w:pPr>
        <w:pStyle w:val="ListBullet"/>
        <w:spacing w:after="40"/>
      </w:pPr>
      <w:r>
        <w:t>zonder vooraf vastgestelde conclusies;</w:t>
      </w:r>
    </w:p>
    <w:p>
      <w:pPr>
        <w:pStyle w:val="ListBullet"/>
        <w:spacing w:after="40"/>
      </w:pPr>
      <w:r>
        <w:t>met ruimte voor stilte, ongemak en nuance.</w:t>
      </w:r>
    </w:p>
    <w:p>
      <w:pPr>
        <w:pStyle w:val="Heading1"/>
      </w:pPr>
      <w:r>
        <w:t>3. Wat deze herstelpositionpaper níet doet</w:t>
      </w:r>
    </w:p>
    <w:p>
      <w:r>
        <w:t>Deze paper:</w:t>
      </w:r>
    </w:p>
    <w:p>
      <w:pPr>
        <w:pStyle w:val="ListBullet"/>
        <w:spacing w:after="40"/>
      </w:pPr>
      <w:r>
        <w:t>stelt geen schuld vast;</w:t>
      </w:r>
    </w:p>
    <w:p>
      <w:pPr>
        <w:pStyle w:val="ListBullet"/>
        <w:spacing w:after="40"/>
      </w:pPr>
      <w:r>
        <w:t>benoemt geen daders of slachtoffers;</w:t>
      </w:r>
    </w:p>
    <w:p>
      <w:pPr>
        <w:pStyle w:val="ListBullet"/>
        <w:spacing w:after="40"/>
      </w:pPr>
      <w:r>
        <w:t>doet geen uitspraken over feiten of waarheidsvinding;</w:t>
      </w:r>
    </w:p>
    <w:p>
      <w:pPr>
        <w:pStyle w:val="ListBullet"/>
        <w:spacing w:after="40"/>
      </w:pPr>
      <w:r>
        <w:t>vervangt geen juridische procedure.</w:t>
      </w:r>
    </w:p>
    <w:p>
      <w:r>
        <w:t>Zij biedt een alternatief spoor, naast juridische en beleidsmatige routes, wanneer die routes juist blokkeren.</w:t>
      </w:r>
    </w:p>
    <w:p>
      <w:pPr>
        <w:pStyle w:val="Heading1"/>
      </w:pPr>
      <w:r>
        <w:t>4. Herstelmechanisme: van vertegenwoordiging naar</w:t>
      </w:r>
    </w:p>
    <w:p>
      <w:r>
        <w:t>ontmoeting</w:t>
      </w:r>
    </w:p>
    <w:p>
      <w:pPr>
        <w:pStyle w:val="Heading3"/>
      </w:pPr>
      <w:r>
        <w:t>4.1 Vertegenwoordiging als blokkade</w:t>
      </w:r>
    </w:p>
    <w:p>
      <w:r>
        <w:t>Wanneer communicatie structureel verloopt via:</w:t>
      </w:r>
    </w:p>
    <w:p>
      <w:pPr>
        <w:pStyle w:val="ListBullet"/>
        <w:spacing w:after="40"/>
      </w:pPr>
      <w:r>
        <w:t>zorgprofessionals;</w:t>
      </w:r>
    </w:p>
    <w:p>
      <w:pPr>
        <w:pStyle w:val="ListBullet"/>
        <w:spacing w:after="40"/>
      </w:pPr>
      <w:r>
        <w:t>advocaten;</w:t>
      </w:r>
    </w:p>
    <w:p>
      <w:pPr>
        <w:pStyle w:val="ListBullet"/>
        <w:spacing w:after="40"/>
      </w:pPr>
      <w:r>
        <w:t>rapportages;</w:t>
      </w:r>
    </w:p>
    <w:p>
      <w:pPr>
        <w:pStyle w:val="ListBullet"/>
        <w:spacing w:after="40"/>
      </w:pPr>
      <w:r>
        <w:t>interne overleggen;</w:t>
      </w:r>
    </w:p>
    <w:p>
      <w:r>
        <w:t>ontstaat een communicatieve afstand die zichzelf versterkt. Ieder woord wordt geïnterpreteerd, vastgelegd en hergebruikt. Herstel wordt dan onmogelijk omdat niemand nog vrij kan spreken.</w:t>
      </w:r>
    </w:p>
    <w:p>
      <w:pPr>
        <w:pStyle w:val="Heading3"/>
      </w:pPr>
      <w:r>
        <w:t>4.2 Ontmoeting als herstart</w:t>
      </w:r>
    </w:p>
    <w:p>
      <w:r>
        <w:t>Herstel begint wanneer:</w:t>
      </w:r>
    </w:p>
    <w:p>
      <w:pPr>
        <w:pStyle w:val="ListBullet"/>
        <w:spacing w:after="40"/>
      </w:pPr>
      <w:r>
        <w:t>betrokkenen elkaar weer direct mogen aanspreken;</w:t>
      </w:r>
    </w:p>
    <w:p>
      <w:pPr>
        <w:pStyle w:val="ListBullet"/>
        <w:spacing w:after="40"/>
      </w:pPr>
      <w:r>
        <w:t>woorden niet onmiddellijk worden vastgelegd als bewijs;</w:t>
      </w:r>
    </w:p>
    <w:p>
      <w:pPr>
        <w:pStyle w:val="ListBullet"/>
        <w:spacing w:after="40"/>
      </w:pPr>
      <w:r>
        <w:t>luisteren belangrijker wordt dan vastleggen.</w:t>
      </w:r>
    </w:p>
    <w:p>
      <w:r>
        <w:t>Dit vraagt geen perfecte setting, maar wel een bewuste pauze in systeemlogica.</w:t>
      </w:r>
    </w:p>
    <w:p>
      <w:pPr>
        <w:pStyle w:val="Heading1"/>
      </w:pPr>
      <w:r>
        <w:t>5. Kernprincipes van herstelgerichte communicatie</w:t>
      </w:r>
    </w:p>
    <w:p>
      <w:r>
        <w:t>Deze herstelpositionpaper hanteert vijf kernprincipes:</w:t>
      </w:r>
    </w:p>
    <w:p>
      <w:pPr>
        <w:spacing w:before="80" w:after="40"/>
      </w:pPr>
      <w:r>
        <w:rPr>
          <w:b/>
          <w:color w:val="2F465C"/>
        </w:rPr>
        <w:t>1. Vrijwilligheid</w:t>
      </w:r>
    </w:p>
    <w:p>
      <w:r>
        <w:t>Directe communicatie kan niet worden afgedwongen, alleen mogelijk gemaakt.</w:t>
      </w:r>
    </w:p>
    <w:p>
      <w:pPr>
        <w:pStyle w:val="Heading1"/>
      </w:pPr>
      <w:r>
        <w:t>2. Tijdelijkheid</w:t>
      </w:r>
    </w:p>
    <w:p>
      <w:r>
        <w:t>Het gesprek staat los van formele besluitvorming.</w:t>
      </w:r>
    </w:p>
    <w:p>
      <w:pPr>
        <w:pStyle w:val="Heading1"/>
      </w:pPr>
      <w:r>
        <w:t>3. Niet-documenterend</w:t>
      </w:r>
    </w:p>
    <w:p>
      <w:r>
        <w:t>Wat gezegd wordt, wordt niet automatisch vastgelegd of hergebruikt.</w:t>
      </w:r>
    </w:p>
    <w:p>
      <w:pPr>
        <w:pStyle w:val="Heading1"/>
      </w:pPr>
      <w:r>
        <w:t>4. Gelijkwaardigheid</w:t>
      </w:r>
    </w:p>
    <w:p>
      <w:r>
        <w:t>Niemand spreekt namens de ander.</w:t>
      </w:r>
    </w:p>
    <w:p>
      <w:pPr>
        <w:pStyle w:val="Heading1"/>
      </w:pPr>
      <w:r>
        <w:t>5. Menselijke maat</w:t>
      </w:r>
    </w:p>
    <w:p>
      <w:r>
        <w:t>Emotie, twijfel en onvolledigheid zijn toegestaan.</w:t>
      </w:r>
    </w:p>
    <w:p>
      <w:pPr>
        <w:pStyle w:val="Heading1"/>
      </w:pPr>
      <w:r>
        <w:t>6. Relatie tot andere SHPP003-herstelpositionpapers</w:t>
      </w:r>
    </w:p>
    <w:p>
      <w:r>
        <w:t>Deze sub-herstelpositionpaper functioneert niet geïsoleerd, maar in samenhang met:</w:t>
      </w:r>
    </w:p>
    <w:p>
      <w:pPr>
        <w:pStyle w:val="ListBullet"/>
        <w:spacing w:after="40"/>
      </w:pPr>
      <w:r>
        <w:t>SHPP003-01 – Herstel bij vastgelopen zorgrelaties (relationele heropening)</w:t>
      </w:r>
    </w:p>
    <w:p>
      <w:pPr>
        <w:pStyle w:val="ListBullet"/>
        <w:spacing w:after="40"/>
      </w:pPr>
      <w:r>
        <w:t>SHPP003-02 – Herstel zonder schuld- of bewijsstrijd (de-escalatie van verdedigingslogica)</w:t>
      </w:r>
    </w:p>
    <w:p>
      <w:pPr>
        <w:pStyle w:val="ListBullet"/>
        <w:spacing w:after="40"/>
      </w:pPr>
      <w:r>
        <w:t>SHPP003-03 – Tijdelijkheid, pauzering en heroverweging van zorg (ruimte creëren voor gesprek)</w:t>
      </w:r>
    </w:p>
    <w:p>
      <w:r>
        <w:t>Zonder directe communicatie blijven deze herstelmechanismen abstract.</w:t>
      </w:r>
    </w:p>
    <w:p>
      <w:pPr>
        <w:pStyle w:val="Heading1"/>
      </w:pPr>
      <w:r>
        <w:t>7. Wanneer is deze herstelpositionpaper passend?</w:t>
      </w:r>
    </w:p>
    <w:p>
      <w:r>
        <w:t>Deze paper is met name passend wanneer:</w:t>
      </w:r>
    </w:p>
    <w:p>
      <w:pPr>
        <w:pStyle w:val="ListBullet"/>
        <w:spacing w:after="40"/>
      </w:pPr>
      <w:r>
        <w:t>communicatie volledig is gejuridiseerd;</w:t>
      </w:r>
    </w:p>
    <w:p>
      <w:pPr>
        <w:pStyle w:val="ListBullet"/>
        <w:spacing w:after="40"/>
      </w:pPr>
      <w:r>
        <w:t>betrokkenen elkaar niet meer spreken;</w:t>
      </w:r>
    </w:p>
    <w:p>
      <w:pPr>
        <w:pStyle w:val="ListBullet"/>
        <w:spacing w:after="40"/>
      </w:pPr>
      <w:r>
        <w:t>zorg wordt voortgezet zonder relationeel contact;</w:t>
      </w:r>
    </w:p>
    <w:p>
      <w:pPr>
        <w:pStyle w:val="ListBullet"/>
        <w:spacing w:after="40"/>
      </w:pPr>
      <w:r>
        <w:t>professionals aangeven “tussen partijen in te staan”;</w:t>
      </w:r>
    </w:p>
    <w:p>
      <w:pPr>
        <w:pStyle w:val="ListBullet"/>
        <w:spacing w:after="40"/>
      </w:pPr>
      <w:r>
        <w:t>het dossier groter wordt, maar het contact kleiner.</w:t>
      </w:r>
    </w:p>
    <w:p>
      <w:pPr>
        <w:pStyle w:val="Heading1"/>
      </w:pPr>
      <w:r>
        <w:t>8. Toetsvragen (niet-juridisch, herstelgericht)</w:t>
      </w:r>
    </w:p>
    <w:p>
      <w:r>
        <w:t>Deze vragen zijn bedoeld om reflectie te openen, niet om te beoordelen:</w:t>
      </w:r>
    </w:p>
    <w:p>
      <w:pPr>
        <w:pStyle w:val="ListBullet"/>
        <w:spacing w:after="40"/>
      </w:pPr>
      <w:r>
        <w:t>Wanneer hebben betrokkenen elkaar voor het laatst rechtstreeks gesproken?</w:t>
      </w:r>
    </w:p>
    <w:p>
      <w:pPr>
        <w:pStyle w:val="ListBullet"/>
        <w:spacing w:after="40"/>
      </w:pPr>
      <w:r>
        <w:t>Wie bepaalt momenteel wat er wordt gezegd?</w:t>
      </w:r>
    </w:p>
    <w:p>
      <w:pPr>
        <w:pStyle w:val="ListBullet"/>
        <w:spacing w:after="40"/>
      </w:pPr>
      <w:r>
        <w:t>Wat zou er gebeuren als het gesprek niet wordt vastgelegd?</w:t>
      </w:r>
    </w:p>
    <w:p>
      <w:pPr>
        <w:pStyle w:val="ListBullet"/>
        <w:spacing w:after="40"/>
      </w:pPr>
      <w:r>
        <w:t>Welke aannames zouden kunnen verdwijnen door ontmoeting?</w:t>
      </w:r>
    </w:p>
    <w:p>
      <w:pPr>
        <w:pStyle w:val="ListBullet"/>
        <w:spacing w:after="40"/>
      </w:pPr>
      <w:r>
        <w:t>Wat is er te verliezen – en wat te winnen – door direct contact?</w:t>
      </w:r>
    </w:p>
    <w:p>
      <w:pPr>
        <w:pStyle w:val="Heading1"/>
      </w:pPr>
      <w:r>
        <w:t>9. Publieke tegenlezers-vragen (voor dialoog)</w:t>
      </w:r>
    </w:p>
    <w:p>
      <w:r>
        <w:t>Voor lezers, professionals, cliënten en beleidsmakers:</w:t>
      </w:r>
    </w:p>
    <w:p>
      <w:pPr>
        <w:spacing w:before="80" w:after="40"/>
      </w:pPr>
      <w:r>
        <w:rPr>
          <w:b/>
          <w:color w:val="2F465C"/>
        </w:rPr>
        <w:t>1. Wanneer wordt indirecte communicatie een vorm van macht?</w:t>
      </w:r>
    </w:p>
    <w:p>
      <w:pPr>
        <w:pStyle w:val="Heading1"/>
      </w:pPr>
      <w:r>
        <w:t>2. Is het werkelijk veiliger om niet met elkaar te spreken?</w:t>
      </w:r>
    </w:p>
    <w:p>
      <w:pPr>
        <w:pStyle w:val="Heading1"/>
      </w:pPr>
      <w:r>
        <w:t>3. Wie profiteert van het ontbreken van direct contact?</w:t>
      </w:r>
    </w:p>
    <w:p>
      <w:pPr>
        <w:pStyle w:val="Heading1"/>
      </w:pPr>
      <w:r>
        <w:t>4. Wat vraagt directe communicatie van professionals?</w:t>
      </w:r>
    </w:p>
    <w:p>
      <w:pPr>
        <w:pStyle w:val="Heading1"/>
      </w:pPr>
      <w:r>
        <w:t>5. Durven we ontmoeting toe te laten zonder controle?</w:t>
      </w:r>
    </w:p>
    <w:p>
      <w:pPr>
        <w:pStyle w:val="Heading1"/>
      </w:pPr>
      <w:r>
        <w:t>10. Slotbeschouwing</w:t>
      </w:r>
    </w:p>
    <w:p>
      <w:r>
        <w:t>Herstel van directe communicatie vraagt geen nieuwe wet, geen extra protocol en geen deskundigenoordeel. Het vraagt ruimte. En moed. Waar mensen weer met elkaar spreken, hoeft het systeem minder te spreken.</w:t>
      </w:r>
    </w:p>
    <w:p>
      <w:r>
        <w:t>Bronnen (thematisch en ondersteunend)</w:t>
      </w:r>
    </w:p>
    <w:p>
      <w:pPr>
        <w:pStyle w:val="ListBullet"/>
        <w:spacing w:after="40"/>
      </w:pPr>
      <w:r>
        <w:t>Habermas, J. – The Theory of Communicative Action https://plato.stanford.edu/entries/habermas/</w:t>
      </w:r>
    </w:p>
    <w:p>
      <w:pPr>
        <w:pStyle w:val="ListBullet"/>
        <w:spacing w:after="40"/>
      </w:pPr>
      <w:r>
        <w:t>WHO – Guidance on community mental health services (2021) https://www.who.int/publications/i/item/9789240025707</w:t>
      </w:r>
    </w:p>
    <w:p>
      <w:pPr>
        <w:pStyle w:val="ListBullet"/>
        <w:spacing w:after="40"/>
      </w:pPr>
      <w:r>
        <w:t>Council of Europe – Participation of service users in mental health care https://www.coe.int/en/web/commissioner/-/participation-of-users-in-mental-healthcare</w:t>
      </w:r>
    </w:p>
    <w:p>
      <w:pPr>
        <w:pStyle w:val="ListBullet"/>
        <w:spacing w:after="40"/>
      </w:pPr>
      <w:r>
        <w:t>Nationale Ombudsman – Menselijke maat in bestuursrecht https://www.nationaleombudsman.nl/publicaties/rapporten/menselijke-maat</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pPr>
        <w:pStyle w:val="Heading1"/>
      </w:pPr>
      <w:r>
        <w:t>Tegenlezers-vraagset</w:t>
      </w:r>
    </w:p>
    <w:p>
      <w:r>
        <w:t>Bij SHPP003-04 – Herstel van directe communicatie</w:t>
      </w:r>
    </w:p>
    <w:p>
      <w:r>
        <w:t>A. Over aannames in het systeem</w:t>
      </w:r>
    </w:p>
    <w:p>
      <w:pPr>
        <w:spacing w:before="80" w:after="40"/>
      </w:pPr>
      <w:r>
        <w:rPr>
          <w:b/>
          <w:color w:val="2F465C"/>
        </w:rPr>
        <w:t>1. Wanneer wordt “professionele afstand” een excuus om contact te vermijden?</w:t>
      </w:r>
    </w:p>
    <w:p>
      <w:pPr>
        <w:pStyle w:val="Heading1"/>
      </w:pPr>
      <w:r>
        <w:t>2. Op welk moment verandert bescherming in uitsluiting?</w:t>
      </w:r>
    </w:p>
    <w:p>
      <w:pPr>
        <w:pStyle w:val="Heading1"/>
      </w:pPr>
      <w:r>
        <w:t>3. Welke aannames liggen onder het besluit om niet rechtstreeks te communiceren?</w:t>
      </w:r>
    </w:p>
    <w:p>
      <w:pPr>
        <w:pStyle w:val="Heading1"/>
      </w:pPr>
      <w:r>
        <w:t>4. Wordt indirecte communicatie hier ingezet uit zorg, of uit controle?</w:t>
      </w:r>
    </w:p>
    <w:p>
      <w:pPr>
        <w:pStyle w:val="Heading1"/>
      </w:pPr>
      <w:r>
        <w:t>5. Wie heeft ooit expliciet vastgesteld dat direct contact niet mogelijk is?</w:t>
      </w:r>
    </w:p>
    <w:p>
      <w:r>
        <w:t>B. Over macht en vertegenwoordiging</w:t>
      </w:r>
    </w:p>
    <w:p>
      <w:pPr>
        <w:pStyle w:val="Heading1"/>
      </w:pPr>
      <w:r>
        <w:t>6. Wie spreekt er momenteel namens wie – en met welk mandaat?</w:t>
      </w:r>
    </w:p>
    <w:p>
      <w:pPr>
        <w:pStyle w:val="Heading1"/>
      </w:pPr>
      <w:r>
        <w:t>7. Wat verdwijnt er wanneer communicatie via dossiers en derden loopt?</w:t>
      </w:r>
    </w:p>
    <w:p>
      <w:pPr>
        <w:pStyle w:val="Heading1"/>
      </w:pPr>
      <w:r>
        <w:t>8. Welke stemmen worden sterker door indirecte communicatie?</w:t>
      </w:r>
    </w:p>
    <w:p>
      <w:pPr>
        <w:pStyle w:val="Heading1"/>
      </w:pPr>
      <w:r>
        <w:t>9. Welke stemmen verdwijnen juist?</w:t>
      </w:r>
    </w:p>
    <w:p>
      <w:pPr>
        <w:pStyle w:val="Heading1"/>
      </w:pPr>
      <w:r>
        <w:t>10. Is vertegenwoordiging hier een tijdelijke hulp, of een structurele vervanging?</w:t>
      </w:r>
    </w:p>
    <w:p>
      <w:r>
        <w:t>C. Over veiligheid en risico</w:t>
      </w:r>
    </w:p>
    <w:p>
      <w:pPr>
        <w:pStyle w:val="Heading1"/>
      </w:pPr>
      <w:r>
        <w:t>11. Waarop is de aanname gebaseerd dat direct contact onveilig zou zijn?</w:t>
      </w:r>
    </w:p>
    <w:p>
      <w:pPr>
        <w:pStyle w:val="Heading1"/>
      </w:pPr>
      <w:r>
        <w:t>12. Voor wie is het risico het grootst: betrokkenen of het systeem?</w:t>
      </w:r>
    </w:p>
    <w:p>
      <w:pPr>
        <w:pStyle w:val="Heading1"/>
      </w:pPr>
      <w:r>
        <w:t>13. Welke risico’s ontstaan juist dóór het ontbreken van ontmoeting?</w:t>
      </w:r>
    </w:p>
    <w:p>
      <w:pPr>
        <w:pStyle w:val="Heading1"/>
      </w:pPr>
      <w:r>
        <w:t>14. Wordt veiligheid hier gedefinieerd als afwezigheid van conflict?</w:t>
      </w:r>
    </w:p>
    <w:p>
      <w:pPr>
        <w:pStyle w:val="Heading1"/>
      </w:pPr>
      <w:r>
        <w:t>15. Kan herstel plaatsvinden zonder enige vorm van ongemak?</w:t>
      </w:r>
    </w:p>
    <w:p>
      <w:r>
        <w:t>D. Over professionaliteit</w:t>
      </w:r>
    </w:p>
    <w:p>
      <w:pPr>
        <w:pStyle w:val="Heading1"/>
      </w:pPr>
      <w:r>
        <w:t>16. Wat vraagt directe communicatie van professionals dat indirecte communicatie niet</w:t>
      </w:r>
    </w:p>
    <w:p>
      <w:r>
        <w:t>vraagt?</w:t>
      </w:r>
    </w:p>
    <w:p>
      <w:pPr>
        <w:pStyle w:val="Heading1"/>
      </w:pPr>
      <w:r>
        <w:t>17. Is het vermijden van direct contact ook een vorm van zelfbescherming?</w:t>
      </w:r>
    </w:p>
    <w:p>
      <w:pPr>
        <w:pStyle w:val="Heading1"/>
      </w:pPr>
      <w:r>
        <w:t>18. Hoe verhoudt professionele rol zich tot menselijke aanwezigheid?</w:t>
      </w:r>
    </w:p>
    <w:p>
      <w:pPr>
        <w:pStyle w:val="Heading1"/>
      </w:pPr>
      <w:r>
        <w:t>19. Wanneer wordt neutraliteit onverschilligheid?</w:t>
      </w:r>
    </w:p>
    <w:p>
      <w:pPr>
        <w:pStyle w:val="Heading1"/>
      </w:pPr>
      <w:r>
        <w:t>20. Welke vaardigheden zijn nodig om ontmoeting toe te laten zonder regie te verliezen?</w:t>
      </w:r>
    </w:p>
    <w:p>
      <w:r>
        <w:t>E. Over herstel en toekomst</w:t>
      </w:r>
    </w:p>
    <w:p>
      <w:pPr>
        <w:pStyle w:val="Heading1"/>
      </w:pPr>
      <w:r>
        <w:t>21. Wat zou er kunnen veranderen als betrokkenen elkaar wél weer spreken?</w:t>
      </w:r>
    </w:p>
    <w:p>
      <w:pPr>
        <w:pStyle w:val="Heading1"/>
      </w:pPr>
      <w:r>
        <w:t>22. Wat staat herstel in de weg: de ander, of het proces?</w:t>
      </w:r>
    </w:p>
    <w:p>
      <w:pPr>
        <w:pStyle w:val="Heading1"/>
      </w:pPr>
      <w:r>
        <w:t>23. Wat is er werkelijk te verliezen door één ontmoeting?</w:t>
      </w:r>
    </w:p>
    <w:p>
      <w:pPr>
        <w:pStyle w:val="Heading1"/>
      </w:pPr>
      <w:r>
        <w:t>24. Wat zou het systeem moeten loslaten om ontmoeting mogelijk te maken?</w:t>
      </w:r>
    </w:p>
    <w:p>
      <w:pPr>
        <w:pStyle w:val="Heading1"/>
      </w:pPr>
      <w:r>
        <w:t>25. Wanneer is het moment gekomen om het gesprek niet langer uit te stellen?</w:t>
      </w:r>
    </w:p>
    <w:p>
      <w:r>
        <w:t>F. Reflectieve slotvragen</w:t>
      </w:r>
    </w:p>
    <w:p>
      <w:pPr>
        <w:pStyle w:val="Heading1"/>
      </w:pPr>
      <w:r>
        <w:t>26. Is het ontbreken van directe communicatie hier nog te rechtvaardigen?</w:t>
      </w:r>
    </w:p>
    <w:p>
      <w:pPr>
        <w:pStyle w:val="Heading1"/>
      </w:pPr>
      <w:r>
        <w:t>27. Wat zegt deze situatie over hoe wij omgaan met conflict?</w:t>
      </w:r>
    </w:p>
    <w:p>
      <w:pPr>
        <w:pStyle w:val="Heading1"/>
      </w:pPr>
      <w:r>
        <w:t>28. Wie neemt verantwoordelijkheid voor het opnieuw mogelijk maken van contact?</w:t>
      </w:r>
    </w:p>
    <w:p>
      <w:pPr>
        <w:pStyle w:val="Heading1"/>
      </w:pPr>
      <w:r>
        <w:t>29. Wat betekent menselijke maat in deze concrete situatie?</w:t>
      </w:r>
    </w:p>
    <w:p>
      <w:pPr>
        <w:pStyle w:val="Heading1"/>
      </w:pPr>
      <w:r>
        <w:t>30. Durven wij ontmoeting toe te laten zonder vooraf te weten waar het eindigt?</w:t>
      </w:r>
    </w:p>
    <w:p>
      <w:r>
        <w:t>Gebruik van deze vraagset Deze vragen zijn niet bedoeld om te beantwoorden met ja of nee, maar om:</w:t>
      </w:r>
    </w:p>
    <w:p>
      <w:pPr>
        <w:pStyle w:val="ListBullet"/>
        <w:spacing w:after="40"/>
      </w:pPr>
      <w:r>
        <w:t>gesprekken te openen;</w:t>
      </w:r>
    </w:p>
    <w:p>
      <w:pPr>
        <w:pStyle w:val="ListBullet"/>
        <w:spacing w:after="40"/>
      </w:pPr>
      <w:r>
        <w:t>vastgelopen patronen zichtbaar te maken;</w:t>
      </w:r>
    </w:p>
    <w:p>
      <w:pPr>
        <w:pStyle w:val="ListBullet"/>
        <w:spacing w:after="40"/>
      </w:pPr>
      <w:r>
        <w:t>herstelruimte te creëren zonder juridische escalatie;</w:t>
      </w:r>
    </w:p>
    <w:p>
      <w:pPr>
        <w:pStyle w:val="ListBullet"/>
        <w:spacing w:after="40"/>
      </w:pPr>
      <w:r>
        <w:t>en verantwoordelijkheid terug te leggen waar ontmoeting wordt geblokkeerd.</w:t>
      </w:r>
    </w:p>
    <w:p>
      <w:r>
        <w:t>Herstel begint waar vragen weer gesteld mogen worden.</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