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2F465C"/>
          <w:sz w:val="26"/>
        </w:rPr>
        <w:t>CIV-CARE_HPP003_P103</w:t>
      </w:r>
    </w:p>
    <w:p>
      <w:pPr>
        <w:spacing w:after="40"/>
        <w:jc w:val="center"/>
      </w:pPr>
      <w:r>
        <w:rPr>
          <w:b/>
          <w:sz w:val="38"/>
        </w:rPr>
        <w:t>SHPP003-03 Tijdelijkheid, pauzering en heroverweging van zorg</w:t>
      </w:r>
    </w:p>
    <w:p>
      <w:pPr>
        <w:spacing w:after="320"/>
        <w:jc w:val="center"/>
      </w:pPr>
      <w:r>
        <w:rPr>
          <w:b/>
          <w:i/>
          <w:color w:val="2F465C"/>
          <w:sz w:val="25"/>
        </w:rPr>
        <w:t>Zorg verliest legitimiteit wanneer tijdelijkheid en herbeoordeling verdwijnen</w:t>
      </w:r>
    </w:p>
    <w:p>
      <w:pPr>
        <w:spacing w:after="40"/>
      </w:pPr>
      <w:r>
        <w:rPr>
          <w:b/>
        </w:rPr>
        <w:t xml:space="preserve">Datum: </w:t>
      </w:r>
      <w:r>
        <w:t>20 januari 2026</w:t>
      </w:r>
    </w:p>
    <w:p>
      <w:pPr>
        <w:spacing w:after="40"/>
      </w:pPr>
      <w:r>
        <w:rPr>
          <w:b/>
        </w:rPr>
        <w:t xml:space="preserve">Versie: </w:t>
      </w:r>
      <w:r>
        <w:t>v0.1</w:t>
      </w:r>
    </w:p>
    <w:p>
      <w:pPr>
        <w:spacing w:after="40"/>
      </w:pPr>
      <w:r>
        <w:rPr>
          <w:b/>
        </w:rPr>
        <w:t xml:space="preserve">Status: </w:t>
      </w:r>
      <w:r>
        <w:t>Concept – open voor publieke reflectie</w:t>
      </w:r>
    </w:p>
    <w:p>
      <w:pPr>
        <w:spacing w:after="40"/>
      </w:pPr>
      <w:r>
        <w:rPr>
          <w:b/>
        </w:rPr>
        <w:t xml:space="preserve">Relevantie: </w:t>
      </w:r>
      <w:r>
        <w:t>Zeer hoog</w:t>
      </w:r>
    </w:p>
    <w:p>
      <w:pPr>
        <w:spacing w:after="40"/>
      </w:pPr>
      <w:r>
        <w:rPr>
          <w:b/>
        </w:rPr>
        <w:t xml:space="preserve">Doel: </w:t>
      </w:r>
      <w:r>
        <w:t>Normatief deelkader binnen de herstelreeks SHPP003; bruikbaar voor reflectie, analyse, tegenlezing en herstelgerichte duiding.</w:t>
      </w:r>
    </w:p>
    <w:p>
      <w:pPr>
        <w:spacing w:after="40"/>
      </w:pPr>
      <w:r>
        <w:rPr>
          <w:b/>
        </w:rPr>
        <w:t xml:space="preserve">Categorie: </w:t>
      </w:r>
      <w:r>
        <w:t>Position paper – herstelreeks SHPP003</w:t>
      </w:r>
    </w:p>
    <w:p>
      <w:pPr>
        <w:spacing w:after="40"/>
      </w:pPr>
      <w:r>
        <w:rPr>
          <w:b/>
        </w:rPr>
        <w:t xml:space="preserve">Bestandsnaam: </w:t>
      </w:r>
      <w:r>
        <w:t>CIV-CARE_HPP003_P103_SHPP003-03_Tijdelijkheid_pauzering_en_heroverweging_v0_9.docx</w:t>
      </w:r>
    </w:p>
    <w:p>
      <w:pPr>
        <w:spacing w:after="40"/>
      </w:pPr>
      <w:r>
        <w:rPr>
          <w:b/>
        </w:rPr>
        <w:t xml:space="preserve">Bronnotitie: </w:t>
      </w:r>
      <w:r>
        <w:t>Bron-PDF-set: civ-care-positionpapers-shpp003.zip Bronbestandsnaam vermeldt v0.9, terwijl de brontekst v0.1 vermeldt. Brontekst en bestandsnaam lopen uiteen in versievermelding; deze inconsistentie is niet geharmoniseerd maar expliciet gemarkeerd.</w:t>
      </w:r>
    </w:p>
    <w:p>
      <w:pPr>
        <w:pBdr>
          <w:bottom w:val="single" w:sz="8" w:space="8" w:color="BFBFBF"/>
        </w:pBdr>
        <w:spacing w:after="200"/>
      </w:pPr>
    </w:p>
    <w:p>
      <w:pPr>
        <w:pStyle w:val="Heading1"/>
      </w:pPr>
      <w:r>
        <w:t>Executive Summary</w:t>
      </w:r>
    </w:p>
    <w:p>
      <w:r>
        <w:t>Deze position paper maakt duidelijk dat zorg haar legitimiteit verliest wanneer zij haar tijdelijke aard niet meer expliciteert en wanneer pauzering of heroverweging uitblijven. Tijdelijkheid is hier een normatief beginsel, geen organisatorisch detail.</w:t>
      </w:r>
    </w:p>
    <w:p>
      <w:r>
        <w:t>De paper beschrijft pauzering als herstelinstrument en waarschuwt voor stilzwijgende verlenging van ingrijpen. De bron-PDF toont een versieregel v0.1 terwijl de bestandsnaam v0.9 vermeldt; die inconsistentie is in deze DOCX expliciet gemarkeerd en niet stilzwijgend gladgestreken.</w:t>
      </w:r>
    </w:p>
    <w:p>
      <w:pPr>
        <w:pStyle w:val="IntenseQuote"/>
      </w:pPr>
      <w:r>
        <w:t>Voor deze documentset geldt dat versie en status niet stilzwijgend mogen worden verondersteld. Deze DOCX-publicatie neemt de bronstatus expliciet over en markeert broninconsistenties waar aanwezig. Voor deelname aan de competentie-gebaseerde samenwerking rond onderhoud en doorontwikkeling van deze normatieven kan worden verwezen naar civ-care.nl.</w:t>
      </w:r>
    </w:p>
    <w:p>
      <w:pPr>
        <w:pStyle w:val="Heading1"/>
      </w:pPr>
      <w:r>
        <w:t>Wijzigingsoverzicht</w:t>
      </w:r>
    </w:p>
    <w:p>
      <w:r>
        <w:t>Onderstaand overzicht borgt welke versie en status in deze publicatie zijn vastgelegd en maakt expliciet dat de inhoud in deze pakketversie als DOCX is opgenomen zonder beoogde materiële wijziging ten opzichte van de bron-PDF.</w:t>
      </w:r>
    </w:p>
    <w:tbl>
      <w:tblPr>
        <w:tblStyle w:val="TableGrid"/>
        <w:tblW w:type="auto" w:w="0"/>
        <w:tblLook w:firstColumn="1" w:firstRow="1" w:lastColumn="0" w:lastRow="0" w:noHBand="0" w:noVBand="1" w:val="04A0"/>
      </w:tblPr>
      <w:tblGrid>
        <w:gridCol w:w="2296"/>
        <w:gridCol w:w="2296"/>
        <w:gridCol w:w="2296"/>
        <w:gridCol w:w="2296"/>
      </w:tblGrid>
      <w:tr>
        <w:tc>
          <w:tcPr>
            <w:tcW w:type="dxa" w:w="2296"/>
            <w:shd w:fill="D9E1E7"/>
          </w:tcPr>
          <w:p>
            <w:pPr>
              <w:spacing w:after="0" w:line="264" w:lineRule="auto"/>
            </w:pPr>
            <w:r>
              <w:rPr>
                <w:b/>
              </w:rPr>
              <w:t>Versie</w:t>
            </w:r>
          </w:p>
        </w:tc>
        <w:tc>
          <w:tcPr>
            <w:tcW w:type="dxa" w:w="2296"/>
            <w:shd w:fill="D9E1E7"/>
          </w:tcPr>
          <w:p>
            <w:pPr>
              <w:spacing w:after="0" w:line="264" w:lineRule="auto"/>
            </w:pPr>
            <w:r>
              <w:rPr>
                <w:b/>
              </w:rPr>
              <w:t>Status</w:t>
            </w:r>
          </w:p>
        </w:tc>
        <w:tc>
          <w:tcPr>
            <w:tcW w:type="dxa" w:w="2296"/>
            <w:shd w:fill="D9E1E7"/>
          </w:tcPr>
          <w:p>
            <w:pPr>
              <w:spacing w:after="0" w:line="264" w:lineRule="auto"/>
            </w:pPr>
            <w:r>
              <w:rPr>
                <w:b/>
              </w:rPr>
              <w:t>Basis</w:t>
            </w:r>
          </w:p>
        </w:tc>
        <w:tc>
          <w:tcPr>
            <w:tcW w:type="dxa" w:w="2296"/>
            <w:shd w:fill="D9E1E7"/>
          </w:tcPr>
          <w:p>
            <w:pPr>
              <w:spacing w:after="0" w:line="264" w:lineRule="auto"/>
            </w:pPr>
            <w:r>
              <w:rPr>
                <w:b/>
              </w:rPr>
              <w:t>Kernwijziging / notitie</w:t>
            </w:r>
          </w:p>
        </w:tc>
      </w:tr>
      <w:tr>
        <w:tc>
          <w:tcPr>
            <w:tcW w:type="dxa" w:w="2296"/>
          </w:tcPr>
          <w:p>
            <w:pPr>
              <w:spacing w:after="0" w:line="264" w:lineRule="auto"/>
            </w:pPr>
            <w:r>
              <w:t>v0.1</w:t>
            </w:r>
          </w:p>
        </w:tc>
        <w:tc>
          <w:tcPr>
            <w:tcW w:type="dxa" w:w="2296"/>
          </w:tcPr>
          <w:p>
            <w:pPr>
              <w:spacing w:after="0" w:line="264" w:lineRule="auto"/>
            </w:pPr>
            <w:r>
              <w:t>Concept – open voor publieke reflectie</w:t>
            </w:r>
          </w:p>
        </w:tc>
        <w:tc>
          <w:tcPr>
            <w:tcW w:type="dxa" w:w="2296"/>
          </w:tcPr>
          <w:p>
            <w:pPr>
              <w:spacing w:after="0" w:line="264" w:lineRule="auto"/>
            </w:pPr>
            <w:r>
              <w:t>Overgenomen uit bron-PDF-set v0.9</w:t>
            </w:r>
          </w:p>
        </w:tc>
        <w:tc>
          <w:tcPr>
            <w:tcW w:type="dxa" w:w="2296"/>
          </w:tcPr>
          <w:p>
            <w:pPr>
              <w:spacing w:after="0" w:line="264" w:lineRule="auto"/>
            </w:pPr>
            <w:r>
              <w:t>Inhoud overgenomen uit bron-PDF en in dit pakket als DOCX geplaatst; versie en status expliciet vastgelegd. Bronbestandsnaam vermeldt v0.9, terwijl de brontekst v0.1 vermeldt. Brontekst en bestandsnaam lopen uiteen in versievermelding; deze inconsistentie is niet geharmoniseerd maar expliciet gemarkeerd.</w:t>
            </w:r>
          </w:p>
        </w:tc>
      </w:tr>
    </w:tbl>
    <w:p/>
    <w:p>
      <w:pPr>
        <w:pStyle w:val="Heading1"/>
      </w:pPr>
      <w:r>
        <w:t>0. Kernstelling</w:t>
      </w:r>
    </w:p>
    <w:p>
      <w:r>
        <w:t>Zorg verliest haar legitimiteit wanneer zij haar tijdelijke aard niet meer expliciteert, geen momenten van pauzering kent en structurele heroverweging uitblijft. Tijdelijkheid is geen organisatorisch detail, maar een fundamentele norm. Waar zorg zichzelf niet periodiek bevraagt, verandert ondersteuning ongemerkt in beheersing.</w:t>
      </w:r>
    </w:p>
    <w:p>
      <w:pPr>
        <w:pStyle w:val="Heading1"/>
      </w:pPr>
      <w:r>
        <w:t>1. Aanleiding en context</w:t>
      </w:r>
    </w:p>
    <w:p>
      <w:r>
        <w:t>In uiteenlopende zorgdomeinen wordt zorg steeds vaker voortgezet zonder expliciete herbevestiging van noodzaak, proportionaliteit en doelgerichtheid. Dit gebeurt zelden door kwade intenties, maar door cumulatieve systeemdynamieken:</w:t>
      </w:r>
    </w:p>
    <w:p>
      <w:pPr>
        <w:pStyle w:val="ListBullet"/>
        <w:spacing w:after="40"/>
      </w:pPr>
      <w:r>
        <w:t>zorgbesluiten worden stilzwijgend verlengd;</w:t>
      </w:r>
    </w:p>
    <w:p>
      <w:pPr>
        <w:pStyle w:val="ListBullet"/>
        <w:spacing w:after="40"/>
      </w:pPr>
      <w:r>
        <w:t>tijdelijke interventies krijgen een permanent karakter;</w:t>
      </w:r>
    </w:p>
    <w:p>
      <w:pPr>
        <w:pStyle w:val="ListBullet"/>
        <w:spacing w:after="40"/>
      </w:pPr>
      <w:r>
        <w:t>evaluatiemomenten worden procedureel in plaats van inhoudelijk;</w:t>
      </w:r>
    </w:p>
    <w:p>
      <w:pPr>
        <w:pStyle w:val="ListBullet"/>
        <w:spacing w:after="40"/>
      </w:pPr>
      <w:r>
        <w:t>afbouw wordt impliciet afhankelijk gemaakt van ‘meewerken’;</w:t>
      </w:r>
    </w:p>
    <w:p>
      <w:pPr>
        <w:pStyle w:val="ListBullet"/>
        <w:spacing w:after="40"/>
      </w:pPr>
      <w:r>
        <w:t>pauzering wordt gezien als risico in plaats van herstelinstrument.</w:t>
      </w:r>
    </w:p>
    <w:p>
      <w:r>
        <w:t>Deze herstel-positionpaper benoemt dit patroon niet om schuld toe te wijzen, maar om ruimte te openen voor heroverweging zonder escalatie.</w:t>
      </w:r>
    </w:p>
    <w:p>
      <w:pPr>
        <w:pStyle w:val="Heading1"/>
      </w:pPr>
      <w:r>
        <w:t>2. Normatief uitgangspunt</w:t>
      </w:r>
    </w:p>
    <w:p>
      <w:r>
        <w:t>Zorg is per definitie:</w:t>
      </w:r>
    </w:p>
    <w:p>
      <w:pPr>
        <w:spacing w:before="80" w:after="40"/>
      </w:pPr>
      <w:r>
        <w:rPr>
          <w:b/>
          <w:color w:val="2F465C"/>
        </w:rPr>
        <w:t>1. tijdelijk – zij bestaat zolang de noodzaak actueel is;</w:t>
      </w:r>
    </w:p>
    <w:p>
      <w:pPr>
        <w:pStyle w:val="Heading1"/>
      </w:pPr>
      <w:r>
        <w:t>2. doelgericht – zij dient herstel, autonomie en participatie;</w:t>
      </w:r>
    </w:p>
    <w:p>
      <w:pPr>
        <w:pStyle w:val="Heading1"/>
      </w:pPr>
      <w:r>
        <w:t>3. herroepbaar – zij moet steeds opnieuw beoordeeld kunnen worden.</w:t>
      </w:r>
    </w:p>
    <w:p>
      <w:r>
        <w:t>Wanneer één van deze drie ontbreekt, ontstaat het risico dat zorg zelfreferentieel wordt: zorg blijft bestaan omdat zij bestaat.</w:t>
      </w:r>
    </w:p>
    <w:p>
      <w:pPr>
        <w:pStyle w:val="Heading1"/>
      </w:pPr>
      <w:r>
        <w:t>3. Het ontbreken van pauzering als structureel risico</w:t>
      </w:r>
    </w:p>
    <w:p>
      <w:pPr>
        <w:pStyle w:val="Heading3"/>
      </w:pPr>
      <w:r>
        <w:t>3.1 Pauzering als herstelinstrument</w:t>
      </w:r>
    </w:p>
    <w:p>
      <w:r>
        <w:t>Pauzering is geen stopzetting, maar een bewuste onderbreking van automatische voortzetting. Zij maakt zichtbaar:</w:t>
      </w:r>
    </w:p>
    <w:p>
      <w:pPr>
        <w:pStyle w:val="ListBullet"/>
        <w:spacing w:after="40"/>
      </w:pPr>
      <w:r>
        <w:t>wat werkelijk noodzakelijk is;</w:t>
      </w:r>
    </w:p>
    <w:p>
      <w:pPr>
        <w:pStyle w:val="ListBullet"/>
        <w:spacing w:after="40"/>
      </w:pPr>
      <w:r>
        <w:t>welke aannames zijn verouderd;</w:t>
      </w:r>
    </w:p>
    <w:p>
      <w:pPr>
        <w:pStyle w:val="ListBullet"/>
        <w:spacing w:after="40"/>
      </w:pPr>
      <w:r>
        <w:t>waar zorg meer schaadt dan ondersteunt.</w:t>
      </w:r>
    </w:p>
    <w:p>
      <w:pPr>
        <w:pStyle w:val="Heading3"/>
      </w:pPr>
      <w:r>
        <w:t>3.2 Wat gebeurt er zonder pauzering?</w:t>
      </w:r>
    </w:p>
    <w:p>
      <w:r>
        <w:t>Zonder pauzering ontstaan herkenbare patronen:</w:t>
      </w:r>
    </w:p>
    <w:p>
      <w:pPr>
        <w:pStyle w:val="ListBullet"/>
        <w:spacing w:after="40"/>
      </w:pPr>
      <w:r>
        <w:t>verlengingen “bij gebrek aan beter”;</w:t>
      </w:r>
    </w:p>
    <w:p>
      <w:pPr>
        <w:pStyle w:val="ListBullet"/>
        <w:spacing w:after="40"/>
      </w:pPr>
      <w:r>
        <w:t>evaluaties die alleen bevestigen wat al loopt;</w:t>
      </w:r>
    </w:p>
    <w:p>
      <w:pPr>
        <w:pStyle w:val="ListBullet"/>
        <w:spacing w:after="40"/>
      </w:pPr>
      <w:r>
        <w:t>cliënten die geen exit meer ervaren;</w:t>
      </w:r>
    </w:p>
    <w:p>
      <w:pPr>
        <w:pStyle w:val="ListBullet"/>
        <w:spacing w:after="40"/>
      </w:pPr>
      <w:r>
        <w:t>professionals die geen ruimte voelen om terug te schakelen.</w:t>
      </w:r>
    </w:p>
    <w:p>
      <w:r>
        <w:t>Pauzering ontbreekt niet omdat zij onwenselijk is, maar omdat zij niet genormeerd is.</w:t>
      </w:r>
    </w:p>
    <w:p>
      <w:pPr>
        <w:pStyle w:val="Heading1"/>
      </w:pPr>
      <w:r>
        <w:t>4. Heroverweging als relationeel proces</w:t>
      </w:r>
    </w:p>
    <w:p>
      <w:r>
        <w:t>Heroverweging is geen eenzijdige beoordeling, maar een relationeel proces waarin minimaal aan bod hoort te komen:</w:t>
      </w:r>
    </w:p>
    <w:p>
      <w:pPr>
        <w:pStyle w:val="ListBullet"/>
        <w:spacing w:after="40"/>
      </w:pPr>
      <w:r>
        <w:t>het perspectief van de betrokkene zelf;</w:t>
      </w:r>
    </w:p>
    <w:p>
      <w:pPr>
        <w:pStyle w:val="ListBullet"/>
        <w:spacing w:after="40"/>
      </w:pPr>
      <w:r>
        <w:t>veranderingen in context en netwerk;</w:t>
      </w:r>
    </w:p>
    <w:p>
      <w:pPr>
        <w:pStyle w:val="ListBullet"/>
        <w:spacing w:after="40"/>
      </w:pPr>
      <w:r>
        <w:t>alternatieven buiten het bestaande zorgkader;</w:t>
      </w:r>
    </w:p>
    <w:p>
      <w:pPr>
        <w:pStyle w:val="ListBullet"/>
        <w:spacing w:after="40"/>
      </w:pPr>
      <w:r>
        <w:t>de mogelijkheid dat zorg kan verminderen of eindigen.</w:t>
      </w:r>
    </w:p>
    <w:p>
      <w:r>
        <w:t>Wanneer heroverweging uitsluitend dossier-gedreven plaatsvindt, verliest zij haar betekenis.</w:t>
      </w:r>
    </w:p>
    <w:p>
      <w:pPr>
        <w:pStyle w:val="Heading1"/>
      </w:pPr>
      <w:r>
        <w:t>5. Structurele mechanismen die heroverweging</w:t>
      </w:r>
    </w:p>
    <w:p>
      <w:r>
        <w:t>blokkeren Deze herstel-positionpaper benoemt onder meer:</w:t>
      </w:r>
    </w:p>
    <w:p>
      <w:pPr>
        <w:spacing w:before="80" w:after="40"/>
      </w:pPr>
      <w:r>
        <w:rPr>
          <w:b/>
          <w:color w:val="2F465C"/>
        </w:rPr>
        <w:t>1. Automatische verlenging</w:t>
      </w:r>
    </w:p>
    <w:p>
      <w:r>
        <w:t>Tijdelijkheid wordt procedureel, niet inhoudelijk.</w:t>
      </w:r>
    </w:p>
    <w:p>
      <w:pPr>
        <w:pStyle w:val="Heading1"/>
      </w:pPr>
      <w:r>
        <w:t>2. Risico-aversie als dominante logica</w:t>
      </w:r>
    </w:p>
    <w:p>
      <w:r>
        <w:t>Afbouw wordt gezien als gevaar, voortzetting als veilig.</w:t>
      </w:r>
    </w:p>
    <w:p>
      <w:pPr>
        <w:pStyle w:val="Heading1"/>
      </w:pPr>
      <w:r>
        <w:t>3. Conditionele zorg</w:t>
      </w:r>
    </w:p>
    <w:p>
      <w:r>
        <w:t>Afbouw wordt afhankelijk van conform gedrag.</w:t>
      </w:r>
    </w:p>
    <w:p>
      <w:pPr>
        <w:pStyle w:val="Heading1"/>
      </w:pPr>
      <w:r>
        <w:t>4. Gebrek aan exit-taal</w:t>
      </w:r>
    </w:p>
    <w:p>
      <w:r>
        <w:t>Systemen spreken over instroom, niet over uitstroom.</w:t>
      </w:r>
    </w:p>
    <w:p>
      <w:pPr>
        <w:pStyle w:val="Heading1"/>
      </w:pPr>
      <w:r>
        <w:t>5. Diffusie van beslismomenten</w:t>
      </w:r>
    </w:p>
    <w:p>
      <w:r>
        <w:t>Niemand voelt zich bevoegd om zorg daadwerkelijk te heroverwegen. Deze mechanismen zijn structureel, niet individueel.</w:t>
      </w:r>
    </w:p>
    <w:p>
      <w:pPr>
        <w:pStyle w:val="Heading1"/>
      </w:pPr>
      <w:r>
        <w:t>6. Herstelprincipes</w:t>
      </w:r>
    </w:p>
    <w:p>
      <w:r>
        <w:t>Deze herstel-positionpaper stelt de volgende principes centraal:</w:t>
      </w:r>
    </w:p>
    <w:p>
      <w:pPr>
        <w:pStyle w:val="Heading3"/>
      </w:pPr>
      <w:r>
        <w:t>6.1 Expliciete tijdelijkheid</w:t>
      </w:r>
    </w:p>
    <w:p>
      <w:r>
        <w:t>Elke zorginterventie hoort een duidelijk gearticuleerd tijdelijk karakter te hebben, inclusief herijkingsmomenten.</w:t>
      </w:r>
    </w:p>
    <w:p>
      <w:pPr>
        <w:pStyle w:val="Heading3"/>
      </w:pPr>
      <w:r>
        <w:t>6.2 Genormeerde pauzering</w:t>
      </w:r>
    </w:p>
    <w:p>
      <w:r>
        <w:t>Pauzering moet als legitiem zorginstrument worden erkend, niet als falen.</w:t>
      </w:r>
    </w:p>
    <w:p>
      <w:pPr>
        <w:pStyle w:val="Heading3"/>
      </w:pPr>
      <w:r>
        <w:t>6.3 Herstelgerichte heroverweging</w:t>
      </w:r>
    </w:p>
    <w:p>
      <w:r>
        <w:t>Heroverweging richt zich primair op:</w:t>
      </w:r>
    </w:p>
    <w:p>
      <w:pPr>
        <w:pStyle w:val="ListBullet"/>
        <w:spacing w:after="40"/>
      </w:pPr>
      <w:r>
        <w:t>autonomie,</w:t>
      </w:r>
    </w:p>
    <w:p>
      <w:pPr>
        <w:pStyle w:val="ListBullet"/>
        <w:spacing w:after="40"/>
      </w:pPr>
      <w:r>
        <w:t>netwerk,</w:t>
      </w:r>
    </w:p>
    <w:p>
      <w:pPr>
        <w:pStyle w:val="ListBullet"/>
        <w:spacing w:after="40"/>
      </w:pPr>
      <w:r>
        <w:t>vermindering van afhankelijkheid.</w:t>
      </w:r>
    </w:p>
    <w:p>
      <w:pPr>
        <w:pStyle w:val="Heading3"/>
      </w:pPr>
      <w:r>
        <w:t>6.4 Afbouw als succesindicator</w:t>
      </w:r>
    </w:p>
    <w:p>
      <w:r>
        <w:t>Het vermogen om zorg af te bouwen is een kwaliteitskenmerk, geen tekortkoming.</w:t>
      </w:r>
    </w:p>
    <w:p>
      <w:pPr>
        <w:pStyle w:val="Heading1"/>
      </w:pPr>
      <w:r>
        <w:t>7. Wat deze herstel-positionpaper niet doet</w:t>
      </w:r>
    </w:p>
    <w:p>
      <w:r>
        <w:t>Deze paper:</w:t>
      </w:r>
    </w:p>
    <w:p>
      <w:pPr>
        <w:pStyle w:val="ListBullet"/>
        <w:spacing w:after="40"/>
      </w:pPr>
      <w:r>
        <w:t>beoordeelt geen individuele casussen;</w:t>
      </w:r>
    </w:p>
    <w:p>
      <w:pPr>
        <w:pStyle w:val="ListBullet"/>
        <w:spacing w:after="40"/>
      </w:pPr>
      <w:r>
        <w:t>stelt geen juridische claims;</w:t>
      </w:r>
    </w:p>
    <w:p>
      <w:pPr>
        <w:pStyle w:val="ListBullet"/>
        <w:spacing w:after="40"/>
      </w:pPr>
      <w:r>
        <w:t>vervangt geen wet, richtlijn of rechterlijk oordeel;</w:t>
      </w:r>
    </w:p>
    <w:p>
      <w:pPr>
        <w:pStyle w:val="ListBullet"/>
        <w:spacing w:after="40"/>
      </w:pPr>
      <w:r>
        <w:t>zoekt geen bewijs voor falen.</w:t>
      </w:r>
    </w:p>
    <w:p>
      <w:r>
        <w:t>Zij biedt een taal en kader om heroverweging mogelijk te maken zonder conflict.</w:t>
      </w:r>
    </w:p>
    <w:p>
      <w:pPr>
        <w:pStyle w:val="Heading1"/>
      </w:pPr>
      <w:r>
        <w:t>8. Relatie tot andere herstel-positionpapers</w:t>
      </w:r>
    </w:p>
    <w:p>
      <w:r>
        <w:t>Deze SHPP003-03 staat in directe samenhang met:</w:t>
      </w:r>
    </w:p>
    <w:p>
      <w:pPr>
        <w:pStyle w:val="ListBullet"/>
        <w:spacing w:after="40"/>
      </w:pPr>
      <w:r>
        <w:t>SHPP003-01 – Herstel bij vastgelopen zorgrelaties</w:t>
      </w:r>
    </w:p>
    <w:p>
      <w:pPr>
        <w:pStyle w:val="ListBullet"/>
        <w:spacing w:after="40"/>
      </w:pPr>
      <w:r>
        <w:t>SHPP003-02 – Herstel zonder schuld, bewijsstrijd of escalatie</w:t>
      </w:r>
    </w:p>
    <w:p>
      <w:pPr>
        <w:pStyle w:val="ListBullet"/>
        <w:spacing w:after="40"/>
      </w:pPr>
      <w:r>
        <w:t>SHPP003-04 – Herstel van directe communicatie</w:t>
      </w:r>
    </w:p>
    <w:p>
      <w:pPr>
        <w:pStyle w:val="ListBullet"/>
        <w:spacing w:after="40"/>
      </w:pPr>
      <w:r>
        <w:t>SHPP003-05 – Herstel van het sociaal netwerk</w:t>
      </w:r>
    </w:p>
    <w:p>
      <w:pPr>
        <w:pStyle w:val="ListBullet"/>
        <w:spacing w:after="40"/>
      </w:pPr>
      <w:r>
        <w:t>SHPP003-06 – Herstel van verantwoordelijkheid</w:t>
      </w:r>
    </w:p>
    <w:p>
      <w:pPr>
        <w:pStyle w:val="ListBullet"/>
        <w:spacing w:after="40"/>
      </w:pPr>
      <w:r>
        <w:t>SHPP003-07 – Herstel van narratief evenwicht</w:t>
      </w:r>
    </w:p>
    <w:p>
      <w:pPr>
        <w:pStyle w:val="ListBullet"/>
        <w:spacing w:after="40"/>
      </w:pPr>
      <w:r>
        <w:t>SHPP003-08 – Herstel van vertrouwen</w:t>
      </w:r>
    </w:p>
    <w:p>
      <w:r>
        <w:t>Samen vormen zij een niet-escalerend herstelkader.</w:t>
      </w:r>
    </w:p>
    <w:p>
      <w:pPr>
        <w:pStyle w:val="Heading1"/>
      </w:pPr>
      <w:r>
        <w:t>9. Bronnen en normatieve verankering</w:t>
      </w:r>
    </w:p>
    <w:p>
      <w:r>
        <w:t>Internationale kaders</w:t>
      </w:r>
    </w:p>
    <w:p>
      <w:pPr>
        <w:pStyle w:val="ListBullet"/>
        <w:spacing w:after="40"/>
      </w:pPr>
      <w:r>
        <w:t>VN-CRPD, art. 12 &amp; 19 https://www.un.org/development/desa/disabilities/convention-on-the-rights-ofpersons-with-disabilities.html</w:t>
      </w:r>
    </w:p>
    <w:p>
      <w:pPr>
        <w:pStyle w:val="ListBullet"/>
        <w:spacing w:after="40"/>
      </w:pPr>
      <w:r>
        <w:t>WHO – Guidance on Community Mental Health Services https://www.who.int/publications/i/item/9789240025707</w:t>
      </w:r>
    </w:p>
    <w:p>
      <w:r>
        <w:t>Europees recht</w:t>
      </w:r>
    </w:p>
    <w:p>
      <w:pPr>
        <w:pStyle w:val="ListBullet"/>
        <w:spacing w:after="40"/>
      </w:pPr>
      <w:r>
        <w:t>EVRM, art. 8 &amp; 13 https://www.echr.coe.int/documents/convention_eng.pdf</w:t>
      </w:r>
    </w:p>
    <w:p>
      <w:pPr>
        <w:pStyle w:val="ListBullet"/>
        <w:spacing w:after="40"/>
      </w:pPr>
      <w:r>
        <w:t>EHRM, X v. Finland (2012) https://hudoc.echr.coe.int/eng?i=001-115249</w:t>
      </w:r>
    </w:p>
    <w:p>
      <w:r>
        <w:t>Zorg en governance</w:t>
      </w:r>
    </w:p>
    <w:p>
      <w:pPr>
        <w:pStyle w:val="ListBullet"/>
        <w:spacing w:after="40"/>
      </w:pPr>
      <w:r>
        <w:t>Thornicroft et al., Balanced Care Model https://www.cambridge.org/core/journals/the-british-journal-of-psychiatry</w:t>
      </w:r>
    </w:p>
    <w:p>
      <w:pPr>
        <w:pStyle w:val="ListBullet"/>
        <w:spacing w:after="40"/>
      </w:pPr>
      <w:r>
        <w:t>Nationale Ombudsman – Ketenverantwoordelijkheid https://www.nationaleombudsman.nl/publicaties/rapporten/ketenverantwoordelijkheid</w:t>
      </w:r>
    </w:p>
    <w:p>
      <w:pPr>
        <w:pStyle w:val="Heading1"/>
      </w:pPr>
      <w:r>
        <w:t>10. Slot</w:t>
      </w:r>
    </w:p>
    <w:p>
      <w:r>
        <w:t>Zorg die zichzelf niet durft te pauzeren, durft zichzelf niet werkelijk te beoordelen. Deze herstel-positionpaper nodigt uit tot vertraging, heroverweging en vermindering, niet als bedreiging van zorg, maar als haar kern.</w:t>
      </w:r>
    </w:p>
    <w:p>
      <w:r>
        <w:t>📄 Governance en versiestandaard (CIV-CARE)</w:t>
      </w:r>
    </w:p>
    <w:p>
      <w:pPr>
        <w:pStyle w:val="Heading1"/>
      </w:pPr>
      <w:r>
        <w:t>Versiestandaard en governance (CIV-CARE)</w:t>
      </w:r>
    </w:p>
    <w:p>
      <w:r>
        <w:t>De Herstel-Positionpapers binnen de CIV-CARE P001-reeks (SHPP003) worden ontwikkeld en gepubliceerd volgens een expliciete versiestandaard, gericht op transparantie, toetsbaarheid en zorgvuldige normontwikkeling.</w:t>
      </w:r>
    </w:p>
    <w:p>
      <w:r>
        <w:t>Versienummering Binnen deze reeks wordt het volgende onderscheid gehanteerd:</w:t>
      </w:r>
    </w:p>
    <w:p>
      <w:r>
        <w:t>v0.9 – Concept (open voor publieke reflectie) De inhoudelijke structuur, begrippen en normatieve uitgangspunten zijn afgerond en coherent. Het document is geschikt voor inhoudelijke toetsing, discussie en tegenlezing door professionals, cliënten, toezichthouders en andere betrokkenen. Wijzigingen betreffen uitsluitend aanscherping, verduidelijking of onderbouwing, niet het fundamentele kader.</w:t>
      </w:r>
    </w:p>
    <w:p>
      <w:r>
        <w:t>v1.0 – Vastgesteld kaderdocument Het document is formeel vastgesteld door Stichting De Kamer van Sociale Waarden. De inhoud wordt beschouwd als normatief referentiekader binnen CIV-CARE en kan worden ingezet in dossiers, beleidsreflectie, toezicht en rechtsbescherming.</w:t>
      </w:r>
    </w:p>
    <w:p>
      <w:r>
        <w:t>Governance-uitgangspunten Deze versiestandaard waarborgt dat: – normatieve kaders niet achter gesloten deuren worden vastgesteld; – publieke reflectie en professionele tegenlezing expliciet onderdeel zijn van het ontwikkelproces; – openheid niet voortkomt uit inhoudelijke onvolwassenheid, maar uit democratische en rechtsstatelijke zorgvuldigheid. De status “open voor publieke reflectie” impliceert nadrukkelijk geen vrijblijvendheid, maar een uitnodiging tot beargumenteerde toetsing en dialoog.</w:t>
      </w:r>
    </w:p>
    <w:p>
      <w:r>
        <w:t>Tegenlezers-vragenset Behorend bij: Herstel-Positionpaper SHPP003-03</w:t>
      </w:r>
    </w:p>
    <w:p>
      <w:r>
        <w:t>A. Over tijdelijkheid van zorg</w:t>
      </w:r>
    </w:p>
    <w:p>
      <w:pPr>
        <w:spacing w:before="80" w:after="40"/>
      </w:pPr>
      <w:r>
        <w:rPr>
          <w:b/>
          <w:color w:val="2F465C"/>
        </w:rPr>
        <w:t>1. Waar in uw praktijk wordt de tijdelijkheid van zorg expliciet vastgelegd – en waar wordt</w:t>
      </w:r>
    </w:p>
    <w:p>
      <w:r>
        <w:t>zij stilzwijgend verondersteld?</w:t>
      </w:r>
    </w:p>
    <w:p>
      <w:pPr>
        <w:pStyle w:val="Heading1"/>
      </w:pPr>
      <w:r>
        <w:t>2. Wanneer is in uw organisatie voor het laatst zorg beëindigd omdat het doel was bereikt,</w:t>
      </w:r>
    </w:p>
    <w:p>
      <w:r>
        <w:t>niet omdat de situatie escaleerde?</w:t>
      </w:r>
    </w:p>
    <w:p>
      <w:pPr>
        <w:pStyle w:val="Heading1"/>
      </w:pPr>
      <w:r>
        <w:t>3. Hoe wordt voorkomen dat tijdelijke interventies ongemerkt structureel worden?</w:t>
      </w:r>
    </w:p>
    <w:p>
      <w:r>
        <w:t>B. Over pauzering als instrument</w:t>
      </w:r>
    </w:p>
    <w:p>
      <w:pPr>
        <w:pStyle w:val="Heading1"/>
      </w:pPr>
      <w:r>
        <w:t>4. Wordt pauzering in uw zorgcontext gezien als een legitiem professioneel handelen, of als</w:t>
      </w:r>
    </w:p>
    <w:p>
      <w:r>
        <w:t>risico?</w:t>
      </w:r>
    </w:p>
    <w:p>
      <w:pPr>
        <w:pStyle w:val="Heading1"/>
      </w:pPr>
      <w:r>
        <w:t>5. Welke organisatorische of juridische angsten spelen mee bij het niet toepassen van</w:t>
      </w:r>
    </w:p>
    <w:p>
      <w:r>
        <w:t>pauzering?</w:t>
      </w:r>
    </w:p>
    <w:p>
      <w:pPr>
        <w:pStyle w:val="Heading1"/>
      </w:pPr>
      <w:r>
        <w:t>6. Wat zou er zichtbaar worden als zorg bewust even wordt losgelaten?</w:t>
      </w:r>
    </w:p>
    <w:p>
      <w:r>
        <w:t>C. Over heroverweging</w:t>
      </w:r>
    </w:p>
    <w:p>
      <w:pPr>
        <w:pStyle w:val="Heading1"/>
      </w:pPr>
      <w:r>
        <w:t>7. Wie heeft in de praktijk daadwerkelijk de bevoegdheid om zorg fundamenteel te</w:t>
      </w:r>
    </w:p>
    <w:p>
      <w:r>
        <w:t>heroverwegen?</w:t>
      </w:r>
    </w:p>
    <w:p>
      <w:pPr>
        <w:pStyle w:val="Heading1"/>
      </w:pPr>
      <w:r>
        <w:t>8. Op basis waarvan wordt vastgesteld dat zorg moet worden voortgezet?</w:t>
      </w:r>
    </w:p>
    <w:p>
      <w:pPr>
        <w:pStyle w:val="Heading1"/>
      </w:pPr>
      <w:r>
        <w:t>9. Hoe wordt het perspectief van de betrokkene zelf meegenomen bij heroverweging –</w:t>
      </w:r>
    </w:p>
    <w:p>
      <w:r>
        <w:t>inhoudelijk, niet procedureel?</w:t>
      </w:r>
    </w:p>
    <w:p>
      <w:r>
        <w:t>D. Over afbouw en uitstroom</w:t>
      </w:r>
    </w:p>
    <w:p>
      <w:pPr>
        <w:pStyle w:val="Heading1"/>
      </w:pPr>
      <w:r>
        <w:t>10. Wordt afbouw van zorg binnen uw organisatie gezien als succes of als falen?</w:t>
      </w:r>
    </w:p>
    <w:p>
      <w:pPr>
        <w:pStyle w:val="Heading1"/>
      </w:pPr>
      <w:r>
        <w:t>11. Welke taal gebruikt uw organisatie voor uitstroom, afronding of beëindiging?</w:t>
      </w:r>
    </w:p>
    <w:p>
      <w:pPr>
        <w:pStyle w:val="Heading1"/>
      </w:pPr>
      <w:r>
        <w:t>12. Bestaat er een gedeeld beeld van wanneer zorg genoeg is?</w:t>
      </w:r>
    </w:p>
    <w:p>
      <w:r>
        <w:t>E. Over systeemdynamiek</w:t>
      </w:r>
    </w:p>
    <w:p>
      <w:pPr>
        <w:pStyle w:val="Heading1"/>
      </w:pPr>
      <w:r>
        <w:t>13. Welke systeemprikkels maken voortzetting van zorg eenvoudiger dan beëindiging?</w:t>
      </w:r>
    </w:p>
    <w:p>
      <w:pPr>
        <w:pStyle w:val="Heading1"/>
      </w:pPr>
      <w:r>
        <w:t>14. In hoeverre spelen financiering, verantwoording of risicomijding een rol bij het uitblijven</w:t>
      </w:r>
    </w:p>
    <w:p>
      <w:r>
        <w:t>van heroverweging?</w:t>
      </w:r>
    </w:p>
    <w:p>
      <w:pPr>
        <w:pStyle w:val="Heading1"/>
      </w:pPr>
      <w:r>
        <w:t>15. Waar verschuift verantwoordelijkheid wanneer niemand expliciet beslist over</w:t>
      </w:r>
    </w:p>
    <w:p>
      <w:r>
        <w:t>voortzetting?</w:t>
      </w:r>
    </w:p>
    <w:p>
      <w:r>
        <w:t>F. Over herstel en menselijke maat</w:t>
      </w:r>
    </w:p>
    <w:p>
      <w:pPr>
        <w:pStyle w:val="Heading1"/>
      </w:pPr>
      <w:r>
        <w:t>16. Wanneer draagt zorg aantoonbaar bij aan herstel – en wanneer juist aan afhankelijkheid?</w:t>
      </w:r>
    </w:p>
    <w:p>
      <w:pPr>
        <w:pStyle w:val="Heading1"/>
      </w:pPr>
      <w:r>
        <w:t>17. Hoe herkent u het moment waarop zorg zelf onderdeel van het probleem wordt?</w:t>
      </w:r>
    </w:p>
    <w:p>
      <w:pPr>
        <w:pStyle w:val="Heading1"/>
      </w:pPr>
      <w:r>
        <w:t>18. Wat vraagt het van professionals om zorg ook weer te durven beëindigen?</w:t>
      </w:r>
    </w:p>
    <w:p>
      <w:r>
        <w:t>G. Reflectieve slotvraag</w:t>
      </w:r>
    </w:p>
    <w:p>
      <w:pPr>
        <w:pStyle w:val="Heading1"/>
      </w:pPr>
      <w:r>
        <w:t>19. Stel dat pauzering en heroverweging structureel genormeerd zouden zijn —</w:t>
      </w:r>
    </w:p>
    <w:p>
      <w:r>
        <w:t>wat zou dat veranderen aan de aard van zorg in uw praktijk?</w:t>
      </w:r>
    </w:p>
    <w:p>
      <w:r>
        <w:t>Gebruik van deze vragen Deze vragen kunnen worden gebruikt voor:</w:t>
      </w:r>
    </w:p>
    <w:p>
      <w:pPr>
        <w:pStyle w:val="ListBullet"/>
        <w:spacing w:after="40"/>
      </w:pPr>
      <w:r>
        <w:t>intervisie en teamreflectie;</w:t>
      </w:r>
    </w:p>
    <w:p>
      <w:pPr>
        <w:pStyle w:val="ListBullet"/>
        <w:spacing w:after="40"/>
      </w:pPr>
      <w:r>
        <w:t>beleids- en governancegesprekken;</w:t>
      </w:r>
    </w:p>
    <w:p>
      <w:pPr>
        <w:pStyle w:val="ListBullet"/>
        <w:spacing w:after="40"/>
      </w:pPr>
      <w:r>
        <w:t>toezichtdialogen;</w:t>
      </w:r>
    </w:p>
    <w:p>
      <w:pPr>
        <w:pStyle w:val="ListBullet"/>
        <w:spacing w:after="40"/>
      </w:pPr>
      <w:r>
        <w:t>publieksreacties op CIV-CARE / dekvsw.nl;</w:t>
      </w:r>
    </w:p>
    <w:p>
      <w:pPr>
        <w:pStyle w:val="ListBullet"/>
        <w:spacing w:after="40"/>
      </w:pPr>
      <w:r>
        <w:t>reflectie door cliënten en netwerkleden.</w:t>
      </w:r>
    </w:p>
    <w:p>
      <w:r>
        <w:t>Zij zijn bedoeld om ruimte te openen, niet om gelijk te halen.</w:t>
      </w:r>
    </w:p>
    <w:p>
      <w:pPr>
        <w:pStyle w:val="Heading1"/>
      </w:pPr>
      <w:r>
        <w:t>Versiestatus, onderhoud en deelname</w:t>
      </w:r>
    </w:p>
    <w:p>
      <w:r>
        <w:t>Deze DOCX-versie volgt de inhoud van de bron-PDF zonder beoogde materiële wijziging. Waar bronbestandsnaam, versieregel of statusformulering uiteenlopen, is dat in dit document expliciet gemaakt in plaats van stilzwijgend geharmoniseerd.</w:t>
      </w:r>
    </w:p>
    <w:p>
      <w:r>
        <w:t>Deze position paper staat binnen de CIV-CARE-herstelreeks open voor beargumenteerde reflectie, tegenlezing en doorontwikkeling. Voor deelname aan de op competentie gebaseerde samenwerking rond onderhoud van deze normatieven kan worden verwezen naar civ-care.nl.</w:t>
      </w:r>
    </w:p>
    <w:sectPr w:rsidR="00FC693F" w:rsidRPr="0006063C" w:rsidSect="00034616">
      <w:pgSz w:w="11906" w:h="16838"/>
      <w:pgMar w:top="1361" w:right="1361" w:bottom="1247"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3" w:lineRule="auto"/>
    </w:pPr>
    <w:rPr>
      <w:rFonts w:ascii="Aptos" w:hAnsi="Aptos"/>
      <w:color w:val="181818"/>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ptos" w:hAnsi="Aptos"/>
      <w:b/>
      <w:bCs/>
      <w:color w:val="2F465C"/>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ptos" w:hAnsi="Aptos"/>
      <w:b/>
      <w:bCs/>
      <w:color w:val="2F465C"/>
      <w:sz w:val="28"/>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2F465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