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CIV-CARE_HPP003_P102</w:t>
      </w:r>
    </w:p>
    <w:p>
      <w:pPr>
        <w:spacing w:after="40"/>
        <w:jc w:val="center"/>
      </w:pPr>
      <w:r>
        <w:rPr>
          <w:b/>
          <w:sz w:val="38"/>
        </w:rPr>
        <w:t>SHPP003-02 Herstel zonder schuld- of bewijsstrijd</w:t>
      </w:r>
    </w:p>
    <w:p>
      <w:pPr>
        <w:spacing w:after="320"/>
        <w:jc w:val="center"/>
      </w:pPr>
      <w:r>
        <w:rPr>
          <w:b/>
          <w:i/>
          <w:color w:val="2F465C"/>
          <w:sz w:val="25"/>
        </w:rPr>
        <w:t>Waarom herstel ruimte vraagt vóór vaststelling van gelijk</w:t>
      </w:r>
    </w:p>
    <w:p>
      <w:pPr>
        <w:spacing w:after="40"/>
      </w:pPr>
      <w:r>
        <w:rPr>
          <w:b/>
        </w:rPr>
        <w:t xml:space="preserve">Datum: </w:t>
      </w:r>
      <w:r>
        <w:t>20 januari 2026</w:t>
      </w:r>
    </w:p>
    <w:p>
      <w:pPr>
        <w:spacing w:after="40"/>
      </w:pPr>
      <w:r>
        <w:rPr>
          <w:b/>
        </w:rPr>
        <w:t xml:space="preserve">Versie: </w:t>
      </w:r>
      <w:r>
        <w:t>v0.90</w:t>
      </w:r>
    </w:p>
    <w:p>
      <w:pPr>
        <w:spacing w:after="40"/>
      </w:pPr>
      <w:r>
        <w:rPr>
          <w:b/>
        </w:rPr>
        <w:t xml:space="preserve">Status: </w:t>
      </w:r>
      <w:r>
        <w:t>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CIV-CARE_HPP003_P102_SHPP003-02_Herstel_zonder_schuld_of_bewijsstrijd_v0_9.docx</w:t>
      </w:r>
    </w:p>
    <w:p>
      <w:pPr>
        <w:spacing w:after="40"/>
      </w:pPr>
      <w:r>
        <w:rPr>
          <w:b/>
        </w:rPr>
        <w:t xml:space="preserve">Bronnotitie: </w:t>
      </w:r>
      <w:r>
        <w:t>Bron-PDF-set: civ-care-positionpapers-shpp003.zip Brontekst vermeldt v0.90; deze notatie is gehandhaafd als bronverwijzing.</w:t>
      </w:r>
    </w:p>
    <w:p>
      <w:pPr>
        <w:pBdr>
          <w:bottom w:val="single" w:sz="8" w:space="8" w:color="BFBFBF"/>
        </w:pBdr>
        <w:spacing w:after="200"/>
      </w:pPr>
    </w:p>
    <w:p>
      <w:pPr>
        <w:pStyle w:val="Heading1"/>
      </w:pPr>
      <w:r>
        <w:t>Executive Summary</w:t>
      </w:r>
    </w:p>
    <w:p>
      <w:r>
        <w:t>Deze position paper werkt uit dat herstel vastloopt wanneer het afhankelijk wordt gemaakt van schuldvaststelling, bewijsdruk of risicolabeling. Daardoor verschuift de aandacht van relationele ruimte naar gelijk krijgen.</w:t>
      </w:r>
    </w:p>
    <w:p>
      <w:r>
        <w:t>De paper plaatst herstel vóór of parallel aan juridische en bestuurlijke beoordeling. In de bron staat de versie als v0.90; deze DOCX neemt die bronvermelding expliciet over en houdt de status concept, open voor publieke reflectie.</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v0.90</w:t>
            </w:r>
          </w:p>
        </w:tc>
        <w:tc>
          <w:tcPr>
            <w:tcW w:type="dxa" w:w="2296"/>
          </w:tcPr>
          <w:p>
            <w:pPr>
              <w:spacing w:after="0" w:line="264" w:lineRule="auto"/>
            </w:pPr>
            <w:r>
              <w:t>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 Brontekst vermeldt v0.90; deze notatie is gehandhaafd als bronverwijzing.</w:t>
            </w:r>
          </w:p>
        </w:tc>
      </w:tr>
    </w:tbl>
    <w:p/>
    <w:p>
      <w:pPr>
        <w:pStyle w:val="Heading1"/>
      </w:pPr>
      <w:r>
        <w:t>Voorwoord (uniform CIV-CARE)</w:t>
      </w:r>
    </w:p>
    <w:p>
      <w:r>
        <w:t>Deze herstel positionpaper maakt deel uit van de CIV-CARE P001 herstelreeks (HPP003). Deze reeks onderzoekt situaties waarin zorgrelaties zijn vastgelopen en herstel niet langer vanzelfsprekend volgt uit voortzetting van bestaande interventies. De herstelreeks:</w:t>
      </w:r>
    </w:p>
    <w:p>
      <w:pPr>
        <w:pStyle w:val="ListBullet"/>
        <w:spacing w:after="40"/>
      </w:pPr>
      <w:r>
        <w:t>is normatief en relationeel van aard;</w:t>
      </w:r>
    </w:p>
    <w:p>
      <w:pPr>
        <w:pStyle w:val="ListBullet"/>
        <w:spacing w:after="40"/>
      </w:pPr>
      <w:r>
        <w:t>is aanvullend op juridische toetsing, niet vervangend;</w:t>
      </w:r>
    </w:p>
    <w:p>
      <w:pPr>
        <w:pStyle w:val="ListBullet"/>
        <w:spacing w:after="40"/>
      </w:pPr>
      <w:r>
        <w:t>beoogt de-escalatie, reflectie en heropening van perspectief;</w:t>
      </w:r>
    </w:p>
    <w:p>
      <w:pPr>
        <w:pStyle w:val="ListBullet"/>
        <w:spacing w:after="40"/>
      </w:pPr>
      <w:r>
        <w:t>positioneert herstel als voorfase van juridische of bestuurlijke beoordeling.</w:t>
      </w:r>
    </w:p>
    <w:p>
      <w:r>
        <w:t>SHPP003-02 bouwt voort op SHPP003-01 (Herstel bij vastgelopen zorgrelaties) en verdiept één kernvraag: Wat gebeurt er wanneer herstel afhankelijk wordt gemaakt van schuldvaststelling of bewijsvoering?</w:t>
      </w:r>
    </w:p>
    <w:p>
      <w:pPr>
        <w:pStyle w:val="Heading1"/>
      </w:pPr>
      <w:r>
        <w:t>0. Introductie – Waarom dit herstel-positionpaper?</w:t>
      </w:r>
    </w:p>
    <w:p>
      <w:r>
        <w:t>In veel vastgelopen zorgrelaties verschuift de aandacht ongemerkt van herstel naar gelijk krijgen. Niet omdat betrokkenen dat willen, maar omdat het systeem herstel conditioneert aan schuldvaststelling, bewijsvoering of risico-labeling. Dit sub-herstel positionpaper onderzoekt een alternatief uitgangspunt: wat als herstel niet langer afhankelijk is van wie fout zat, maar van wat nodig is om opnieuw menswaardig verder te kunnen? SHPP003-02 stelt dat het vasthouden aan bewijsstrijd en schuldvraag vaak geen oplossing is, maar juist een verlenging van de impasse. Niet zelden leidt dit tot:</w:t>
      </w:r>
    </w:p>
    <w:p>
      <w:pPr>
        <w:pStyle w:val="ListBullet"/>
        <w:spacing w:after="40"/>
      </w:pPr>
      <w:r>
        <w:t>escalatie van wantrouwen,</w:t>
      </w:r>
    </w:p>
    <w:p>
      <w:pPr>
        <w:pStyle w:val="ListBullet"/>
        <w:spacing w:after="40"/>
      </w:pPr>
      <w:r>
        <w:t>uitsluiting van informele steun,</w:t>
      </w:r>
    </w:p>
    <w:p>
      <w:pPr>
        <w:pStyle w:val="ListBullet"/>
        <w:spacing w:after="40"/>
      </w:pPr>
      <w:r>
        <w:t>juridisering van zorg,</w:t>
      </w:r>
    </w:p>
    <w:p>
      <w:pPr>
        <w:pStyle w:val="ListBullet"/>
        <w:spacing w:after="40"/>
      </w:pPr>
      <w:r>
        <w:t>en verlies van relationele ruimte.</w:t>
      </w:r>
    </w:p>
    <w:p>
      <w:r>
        <w:t>Dit document nodigt professionals, bestuurders, ervaringsdeskundigen en naasten uit om herstel opnieuw te positioneren: niet als uitkomst van een strijd, maar als proces dat voorafgaat aan gelijk of ongelijk. Deze sub-herstel positionpaper is nadrukkelijk open voor reflectie en tegenspraak.</w:t>
      </w:r>
    </w:p>
    <w:p>
      <w:pPr>
        <w:pStyle w:val="Heading1"/>
      </w:pPr>
      <w:r>
        <w:t>1. Doel en positionering</w:t>
      </w:r>
    </w:p>
    <w:p>
      <w:r>
        <w:t>Deze herstel positionpaper beoogt een normatief kader te bieden voor situaties waarin herstel van een vastgelopen zorgrelatie wordt belemmerd doordat eerst:</w:t>
      </w:r>
    </w:p>
    <w:p>
      <w:pPr>
        <w:pStyle w:val="ListBullet"/>
        <w:spacing w:after="40"/>
      </w:pPr>
      <w:r>
        <w:t>gelijk moet worden vastgesteld;</w:t>
      </w:r>
    </w:p>
    <w:p>
      <w:pPr>
        <w:pStyle w:val="ListBullet"/>
        <w:spacing w:after="40"/>
      </w:pPr>
      <w:r>
        <w:t>feiten moeten worden bewezen;</w:t>
      </w:r>
    </w:p>
    <w:p>
      <w:pPr>
        <w:pStyle w:val="ListBullet"/>
        <w:spacing w:after="40"/>
      </w:pPr>
      <w:r>
        <w:t>posities juridisch worden afgebakend.</w:t>
      </w:r>
    </w:p>
    <w:p>
      <w:r>
        <w:t>“Wanneer herstel wordt voorafgegaan door bewijsstrijd, verdwijnt de ruimte om elkaar nog te ontmoeten.” De paper positioneert herstel expliciet als onafhankelijk van schuld- of bewijsuitspraken, zonder deze te ontkennen of uit te sluiten.</w:t>
      </w:r>
    </w:p>
    <w:p>
      <w:pPr>
        <w:pStyle w:val="Heading1"/>
      </w:pPr>
      <w:r>
        <w:t>2. Kernbegrip: herstel zonder bewijsdruk</w:t>
      </w:r>
    </w:p>
    <w:p>
      <w:r>
        <w:t>Herstel zonder schuld- of bewijsstrijd betekent:</w:t>
      </w:r>
    </w:p>
    <w:p>
      <w:pPr>
        <w:pStyle w:val="ListBullet"/>
        <w:spacing w:after="40"/>
      </w:pPr>
      <w:r>
        <w:t>dat betrokkenen opnieuw in gesprek kunnen zonder voorafgaande kwalificatie;</w:t>
      </w:r>
    </w:p>
    <w:p>
      <w:pPr>
        <w:pStyle w:val="ListBullet"/>
        <w:spacing w:after="40"/>
      </w:pPr>
      <w:r>
        <w:t>dat ruimte ontstaat voor erkenning zonder juridische vastlegging;</w:t>
      </w:r>
    </w:p>
    <w:p>
      <w:pPr>
        <w:pStyle w:val="ListBullet"/>
        <w:spacing w:after="40"/>
      </w:pPr>
      <w:r>
        <w:t>dat reflectie mogelijk wordt zonder strategische positionering.</w:t>
      </w:r>
    </w:p>
    <w:p>
      <w:r>
        <w:t>Herstel is hierbij geen vrijwaring van verantwoordelijkheid, maar een tijdelijke opschorting van beoordeling. “Herstel vraagt geen schuldvaststelling, maar erkenning dat beweging is vastgelopen.”</w:t>
      </w:r>
    </w:p>
    <w:p>
      <w:pPr>
        <w:pStyle w:val="Heading1"/>
      </w:pPr>
      <w:r>
        <w:t>3. Normatief en juridisch kader</w:t>
      </w:r>
    </w:p>
    <w:p>
      <w:r>
        <w:t>Het conditioneren van herstel aan bewijs raakt aan fundamentele beginselen:</w:t>
      </w:r>
    </w:p>
    <w:p>
      <w:pPr>
        <w:pStyle w:val="ListBullet"/>
        <w:spacing w:after="40"/>
      </w:pPr>
      <w:r>
        <w:t>Zorgvuldigheidsbeginsel (Awb art. 3:2);</w:t>
      </w:r>
    </w:p>
    <w:p>
      <w:pPr>
        <w:pStyle w:val="ListBullet"/>
        <w:spacing w:after="40"/>
      </w:pPr>
      <w:r>
        <w:t>Evenredigheidsbeginsel (Awb art. 3:4);</w:t>
      </w:r>
    </w:p>
    <w:p>
      <w:pPr>
        <w:pStyle w:val="ListBullet"/>
        <w:spacing w:after="40"/>
      </w:pPr>
      <w:r>
        <w:t>Fair balance onder art. 8 EVRM;</w:t>
      </w:r>
    </w:p>
    <w:p>
      <w:pPr>
        <w:pStyle w:val="ListBullet"/>
        <w:spacing w:after="40"/>
      </w:pPr>
      <w:r>
        <w:t>Herstel- en proportionaliteitsvereisten binnen WvGGZ en WGBO.</w:t>
      </w:r>
    </w:p>
    <w:p>
      <w:r>
        <w:t>Wanneer herstel onmogelijk wordt zolang bewijs ontbreekt, ontstaat het risico dat zorg wordt voortgezet zonder relationele legitimatie.</w:t>
      </w:r>
    </w:p>
    <w:p>
      <w:pPr>
        <w:pStyle w:val="Heading1"/>
      </w:pPr>
      <w:r>
        <w:t>4. Mechanisme: hoe bewijsstrijd herstel blokkeert</w:t>
      </w:r>
    </w:p>
    <w:p>
      <w:r>
        <w:t>In vastgelopen zorgrelaties leidt bewijsgericht werken vaak tot:</w:t>
      </w:r>
    </w:p>
    <w:p>
      <w:pPr>
        <w:pStyle w:val="ListBullet"/>
        <w:spacing w:after="40"/>
      </w:pPr>
      <w:r>
        <w:t>juridisering van communicatie;</w:t>
      </w:r>
    </w:p>
    <w:p>
      <w:pPr>
        <w:pStyle w:val="ListBullet"/>
        <w:spacing w:after="40"/>
      </w:pPr>
      <w:r>
        <w:t>defensieve dossiervorming;</w:t>
      </w:r>
    </w:p>
    <w:p>
      <w:pPr>
        <w:pStyle w:val="ListBullet"/>
        <w:spacing w:after="40"/>
      </w:pPr>
      <w:r>
        <w:t>escalatie van wantrouwen;</w:t>
      </w:r>
    </w:p>
    <w:p>
      <w:pPr>
        <w:pStyle w:val="ListBullet"/>
        <w:spacing w:after="40"/>
      </w:pPr>
      <w:r>
        <w:t>afname van professionele handelingsruimte.</w:t>
      </w:r>
    </w:p>
    <w:p>
      <w:r>
        <w:t>“Juridisering is vaak een reactie op de impasse, niet de oplossing ervan.” Bewijsstrijd verplaatst het probleem van herstel naar positionering.</w:t>
      </w:r>
    </w:p>
    <w:p>
      <w:pPr>
        <w:pStyle w:val="Heading1"/>
      </w:pPr>
      <w:r>
        <w:t>5. Gevolgen</w:t>
      </w:r>
    </w:p>
    <w:p>
      <w:pPr>
        <w:pStyle w:val="Heading3"/>
      </w:pPr>
      <w:r>
        <w:t>5.1 Voor betrokkenen</w:t>
      </w:r>
    </w:p>
    <w:p>
      <w:pPr>
        <w:pStyle w:val="ListBullet"/>
        <w:spacing w:after="40"/>
      </w:pPr>
      <w:r>
        <w:t>ervaren onveiligheid in communicatie;</w:t>
      </w:r>
    </w:p>
    <w:p>
      <w:pPr>
        <w:pStyle w:val="ListBullet"/>
        <w:spacing w:after="40"/>
      </w:pPr>
      <w:r>
        <w:t>vermijding van openheid;</w:t>
      </w:r>
    </w:p>
    <w:p>
      <w:pPr>
        <w:pStyle w:val="ListBullet"/>
        <w:spacing w:after="40"/>
      </w:pPr>
      <w:r>
        <w:t>verlies van vertrouwen in zorg.</w:t>
      </w:r>
    </w:p>
    <w:p>
      <w:pPr>
        <w:pStyle w:val="Heading3"/>
      </w:pPr>
      <w:r>
        <w:t>5.2 Voor professionals</w:t>
      </w:r>
    </w:p>
    <w:p>
      <w:pPr>
        <w:pStyle w:val="ListBullet"/>
        <w:spacing w:after="40"/>
      </w:pPr>
      <w:r>
        <w:t>verhoogde risico-aversie;</w:t>
      </w:r>
    </w:p>
    <w:p>
      <w:pPr>
        <w:pStyle w:val="ListBullet"/>
        <w:spacing w:after="40"/>
      </w:pPr>
      <w:r>
        <w:t>beperkte ruimte voor relationeel handelen;</w:t>
      </w:r>
    </w:p>
    <w:p>
      <w:pPr>
        <w:pStyle w:val="ListBullet"/>
        <w:spacing w:after="40"/>
      </w:pPr>
      <w:r>
        <w:t>druk tot vastleggen boven afstemmen.</w:t>
      </w:r>
    </w:p>
    <w:p>
      <w:pPr>
        <w:pStyle w:val="Heading3"/>
      </w:pPr>
      <w:r>
        <w:t>5.3 Voor het systeem</w:t>
      </w:r>
    </w:p>
    <w:p>
      <w:pPr>
        <w:pStyle w:val="ListBullet"/>
        <w:spacing w:after="40"/>
      </w:pPr>
      <w:r>
        <w:t>langdurige zorg zonder herijking;</w:t>
      </w:r>
    </w:p>
    <w:p>
      <w:pPr>
        <w:pStyle w:val="ListBullet"/>
        <w:spacing w:after="40"/>
      </w:pPr>
      <w:r>
        <w:t>escalatie naar juridische procedures;</w:t>
      </w:r>
    </w:p>
    <w:p>
      <w:pPr>
        <w:pStyle w:val="ListBullet"/>
        <w:spacing w:after="40"/>
      </w:pPr>
      <w:r>
        <w:t>verharding van posities.</w:t>
      </w:r>
    </w:p>
    <w:p>
      <w:pPr>
        <w:pStyle w:val="Heading1"/>
      </w:pPr>
      <w:r>
        <w:t>6. Herstel als autonome fase</w:t>
      </w:r>
    </w:p>
    <w:p>
      <w:r>
        <w:t>Deze paper stelt herstel expliciet voor als:</w:t>
      </w:r>
    </w:p>
    <w:p>
      <w:pPr>
        <w:pStyle w:val="ListBullet"/>
        <w:spacing w:after="40"/>
      </w:pPr>
      <w:r>
        <w:t>een autonome fase binnen zorgrelaties;</w:t>
      </w:r>
    </w:p>
    <w:p>
      <w:pPr>
        <w:pStyle w:val="ListBullet"/>
        <w:spacing w:after="40"/>
      </w:pPr>
      <w:r>
        <w:t>voorafgaand aan juridische beoordeling;</w:t>
      </w:r>
    </w:p>
    <w:p>
      <w:pPr>
        <w:pStyle w:val="ListBullet"/>
        <w:spacing w:after="40"/>
      </w:pPr>
      <w:r>
        <w:t>met eigen legitimiteit en doelstelling.</w:t>
      </w:r>
    </w:p>
    <w:p>
      <w:r>
        <w:t>Herstel vraagt:</w:t>
      </w:r>
    </w:p>
    <w:p>
      <w:pPr>
        <w:pStyle w:val="ListBullet"/>
        <w:spacing w:after="40"/>
      </w:pPr>
      <w:r>
        <w:t>tijdelijke pauze;</w:t>
      </w:r>
    </w:p>
    <w:p>
      <w:pPr>
        <w:pStyle w:val="ListBullet"/>
        <w:spacing w:after="40"/>
      </w:pPr>
      <w:r>
        <w:t>expliciete uitnodiging tot gesprek;</w:t>
      </w:r>
    </w:p>
    <w:p>
      <w:pPr>
        <w:pStyle w:val="ListBullet"/>
        <w:spacing w:after="40"/>
      </w:pPr>
      <w:r>
        <w:t>erkenning van stilstand zonder schuldtoewijzing.</w:t>
      </w:r>
    </w:p>
    <w:p>
      <w:pPr>
        <w:ind w:left="340"/>
      </w:pPr>
      <w:r>
        <w:rPr>
          <w:i/>
          <w:color w:val="666666"/>
        </w:rPr>
        <w:t>“Herstel begint niet bij gelijk krijgen, maar bij ruimte maken.”</w:t>
      </w:r>
    </w:p>
    <w:p>
      <w:pPr>
        <w:pStyle w:val="Heading1"/>
      </w:pPr>
      <w:r>
        <w:t>7. Relatie tot andere herstel positionpapers</w:t>
      </w:r>
    </w:p>
    <w:p>
      <w:r>
        <w:t>SHPP003-02 staat in directe relatie tot:</w:t>
      </w:r>
    </w:p>
    <w:p>
      <w:pPr>
        <w:pStyle w:val="ListBullet"/>
        <w:spacing w:after="40"/>
      </w:pPr>
      <w:r>
        <w:t>SHPP003-01 – Herstel bij vastgelopen zorgrelaties;</w:t>
      </w:r>
    </w:p>
    <w:p>
      <w:pPr>
        <w:pStyle w:val="ListBullet"/>
        <w:spacing w:after="40"/>
      </w:pPr>
      <w:r>
        <w:t>SHPP003-03 – Tijdelijkheid, pauzering en heroverweging van zorg;</w:t>
      </w:r>
    </w:p>
    <w:p>
      <w:pPr>
        <w:pStyle w:val="ListBullet"/>
        <w:spacing w:after="40"/>
      </w:pPr>
      <w:r>
        <w:t>SHPP003-04 – Communicatieherstel vóór juridische interventie.</w:t>
      </w:r>
    </w:p>
    <w:p>
      <w:pPr>
        <w:pStyle w:val="Heading1"/>
      </w:pPr>
      <w:r>
        <w:t>8. Gebruik binnen CIV-CARE-context</w:t>
      </w:r>
    </w:p>
    <w:p>
      <w:r>
        <w:t>Deze herstel positionpaper kan worden ingezet als:</w:t>
      </w:r>
    </w:p>
    <w:p>
      <w:pPr>
        <w:pStyle w:val="ListBullet"/>
        <w:spacing w:after="40"/>
      </w:pPr>
      <w:r>
        <w:t>reflectiekader bij dreigende juridisering;</w:t>
      </w:r>
    </w:p>
    <w:p>
      <w:pPr>
        <w:pStyle w:val="ListBullet"/>
        <w:spacing w:after="40"/>
      </w:pPr>
      <w:r>
        <w:t>onderbouwing voor herstelgesprekken;</w:t>
      </w:r>
    </w:p>
    <w:p>
      <w:pPr>
        <w:pStyle w:val="ListBullet"/>
        <w:spacing w:after="40"/>
      </w:pPr>
      <w:r>
        <w:t>normatief anker in toezicht en evaluatie;</w:t>
      </w:r>
    </w:p>
    <w:p>
      <w:pPr>
        <w:pStyle w:val="ListBullet"/>
        <w:spacing w:after="40"/>
      </w:pPr>
      <w:r>
        <w:t>begeleidend kader bij pauzering van zorg.</w:t>
      </w:r>
    </w:p>
    <w:p>
      <w:r>
        <w:t>Voorbeeldformulering: “Conform CIV-CARE P001 SHPP003-02 dient herstelruimte te worden gecreëerd los van schuldof bewijsdiscussies.”</w:t>
      </w:r>
    </w:p>
    <w:p>
      <w:pPr>
        <w:pStyle w:val="Heading1"/>
      </w:pPr>
      <w:r>
        <w:t>9. Slotbeschouwing (uniform CIV-CARE)</w:t>
      </w:r>
    </w:p>
    <w:p>
      <w:r>
        <w:t>Herstel zonder schuld- of bewijsstrijd is geen ontkenning van verantwoordelijkheid, maar een erkenning van relationaliteit. Door herstel los te koppelen van gelijk, wordt ruimte gemaakt voor beweging, reflectie en proportionaliteit. “Niet alles wat vastloopt, vraagt om bewijs.”</w:t>
      </w:r>
    </w:p>
    <w:p>
      <w:r>
        <w:t>Bronnen (selectie)</w:t>
      </w:r>
    </w:p>
    <w:p>
      <w:pPr>
        <w:pStyle w:val="ListBullet"/>
        <w:spacing w:after="40"/>
      </w:pPr>
      <w:r>
        <w:t>Algemene wet bestuursrecht (Awb) https://wetten.overheid.nl/BWBR0005537</w:t>
      </w:r>
    </w:p>
    <w:p>
      <w:pPr>
        <w:pStyle w:val="ListBullet"/>
        <w:spacing w:after="40"/>
      </w:pPr>
      <w:r>
        <w:t>EVRM – Artikel 8 https://www.echr.coe.int/documents/convention_eng.pdf</w:t>
      </w:r>
    </w:p>
    <w:p>
      <w:pPr>
        <w:pStyle w:val="ListBullet"/>
        <w:spacing w:after="40"/>
      </w:pPr>
      <w:r>
        <w:t>WHO – Guidance on Community Mental Health Services (2021) https://www.who.int/publications/i/item/9789240025707</w:t>
      </w:r>
    </w:p>
    <w:p>
      <w:pPr>
        <w:pStyle w:val="ListBullet"/>
        <w:spacing w:after="40"/>
      </w:pPr>
      <w:r>
        <w:t>Nationale Ombudsman – Behoorlijkheid en zorgvuldigheid https://www.nationaleombudsman.nl/publicaties</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pPr>
        <w:pStyle w:val="Heading1"/>
      </w:pPr>
      <w:r>
        <w:t>Tegenlezers-vraagset</w:t>
      </w:r>
    </w:p>
    <w:p>
      <w:r>
        <w:t>bedoeld om debat en reflectie los te maken De onderstaande vragen zijn expliciet bedoeld voor kritische meelezers, waaronder zorgprofessionals, juristen, beleidsmakers, cliëntenraden en ervaringsdeskundigen. Over uitgangspunten</w:t>
      </w:r>
    </w:p>
    <w:p>
      <w:pPr>
        <w:spacing w:before="80" w:after="40"/>
      </w:pPr>
      <w:r>
        <w:rPr>
          <w:b/>
          <w:color w:val="2F465C"/>
        </w:rPr>
        <w:t>1. Is het in jouw praktijk werkelijk noodzakelijk om eerst schuld of falen vast te stellen vóór</w:t>
      </w:r>
    </w:p>
    <w:p>
      <w:r>
        <w:t>herstel mogelijk is?</w:t>
      </w:r>
    </w:p>
    <w:p>
      <w:pPr>
        <w:pStyle w:val="Heading1"/>
      </w:pPr>
      <w:r>
        <w:t>2. Wanneer wordt “zorgvuldigheid” in feite een vorm van verlamming?</w:t>
      </w:r>
    </w:p>
    <w:p>
      <w:r>
        <w:t>Over systeemwerking</w:t>
      </w:r>
    </w:p>
    <w:p>
      <w:pPr>
        <w:pStyle w:val="Heading1"/>
      </w:pPr>
      <w:r>
        <w:t>3. Herken je situaties waarin bewijsverzameling het conflict verlengt in plaats van oplost?</w:t>
      </w:r>
    </w:p>
    <w:p>
      <w:pPr>
        <w:pStyle w:val="Heading1"/>
      </w:pPr>
      <w:r>
        <w:t>4. In hoeverre dwingt jouw organisatie herstel onbedoeld in een juridisch frame?</w:t>
      </w:r>
    </w:p>
    <w:p>
      <w:r>
        <w:t>Over macht en positie</w:t>
      </w:r>
    </w:p>
    <w:p>
      <w:pPr>
        <w:pStyle w:val="Heading1"/>
      </w:pPr>
      <w:r>
        <w:t>5. Wie profiteert van het uitstellen van herstel totdat alles is vastgelegd?</w:t>
      </w:r>
    </w:p>
    <w:p>
      <w:pPr>
        <w:pStyle w:val="Heading1"/>
      </w:pPr>
      <w:r>
        <w:t>6. Wie draagt de lasten van die vertraging — en worden die lasten voldoende meegewogen?</w:t>
      </w:r>
    </w:p>
    <w:p>
      <w:r>
        <w:t>Over alternatieven</w:t>
      </w:r>
    </w:p>
    <w:p>
      <w:pPr>
        <w:pStyle w:val="Heading1"/>
      </w:pPr>
      <w:r>
        <w:t>7. Welke vormen van herstel zijn denkbaar zonder erkenning van schuld, maar mét</w:t>
      </w:r>
    </w:p>
    <w:p>
      <w:r>
        <w:t>erkenning van schade?</w:t>
      </w:r>
    </w:p>
    <w:p>
      <w:pPr>
        <w:pStyle w:val="Heading1"/>
      </w:pPr>
      <w:r>
        <w:t>8. Welke professionele waarborgen zijn nodig om herstel zonder bewijsstrijd verantwoord</w:t>
      </w:r>
    </w:p>
    <w:p>
      <w:r>
        <w:t>te maken? Over jouw rol</w:t>
      </w:r>
    </w:p>
    <w:p>
      <w:pPr>
        <w:pStyle w:val="Heading1"/>
      </w:pPr>
      <w:r>
        <w:t>9. Wat zou jij anders moeten doen om ruimte voor herstel te creëren vóórdat dossiers</w:t>
      </w:r>
    </w:p>
    <w:p>
      <w:r>
        <w:t>verharden?</w:t>
      </w:r>
    </w:p>
    <w:p>
      <w:pPr>
        <w:pStyle w:val="Heading1"/>
      </w:pPr>
      <w:r>
        <w:t>10. Wat heb jij nodig om dit ook daadwerkelijk te durven?</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