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after="40"/>
        <w:jc w:val="center"/>
      </w:pPr>
      <w:r>
        <w:rPr>
          <w:rFonts w:ascii="Aptos" w:hAnsi="Aptos"/>
          <w:b/>
          <w:i w:val="0"/>
          <w:sz w:val="26"/>
        </w:rPr>
        <w:t>CIV-CARE_HPP003_P202</w:t>
      </w:r>
    </w:p>
    <w:p>
      <w:pPr>
        <w:spacing w:after="40"/>
        <w:jc w:val="center"/>
      </w:pPr>
      <w:r>
        <w:rPr>
          <w:rFonts w:ascii="Aptos" w:hAnsi="Aptos"/>
          <w:b/>
          <w:i w:val="0"/>
          <w:sz w:val="38"/>
        </w:rPr>
        <w:t>Slotverklaring Herstelreeks SHPP003</w:t>
      </w:r>
    </w:p>
    <w:p>
      <w:pPr>
        <w:spacing w:after="40"/>
        <w:jc w:val="center"/>
      </w:pPr>
      <w:r>
        <w:rPr>
          <w:rFonts w:ascii="Aptos" w:hAnsi="Aptos"/>
          <w:b/>
          <w:i/>
          <w:sz w:val="25"/>
        </w:rPr>
        <w:t>Formele vaststellings- en bestuursverklaring binnen HPP003</w:t>
      </w:r>
    </w:p>
    <w:p>
      <w:pPr>
        <w:spacing w:after="40"/>
      </w:pPr>
      <w:r>
        <w:rPr>
          <w:b/>
        </w:rPr>
        <w:t xml:space="preserve">Datum: </w:t>
      </w:r>
      <w:r>
        <w:t>20 januari 2026</w:t>
      </w:r>
    </w:p>
    <w:p>
      <w:pPr>
        <w:spacing w:after="40"/>
      </w:pPr>
      <w:r>
        <w:rPr>
          <w:b/>
        </w:rPr>
        <w:t xml:space="preserve">Versie: </w:t>
      </w:r>
      <w:r>
        <w:t>v0.9</w:t>
      </w:r>
    </w:p>
    <w:p>
      <w:pPr>
        <w:spacing w:after="40"/>
      </w:pPr>
      <w:r>
        <w:rPr>
          <w:b/>
        </w:rPr>
        <w:t xml:space="preserve">Status: </w:t>
      </w:r>
      <w:r>
        <w:t>Formeel vastgesteld normatief kader – open voor publieke reflectie</w:t>
      </w:r>
    </w:p>
    <w:p>
      <w:pPr>
        <w:spacing w:after="40"/>
      </w:pPr>
      <w:r>
        <w:rPr>
          <w:b/>
        </w:rPr>
        <w:t xml:space="preserve">Relevantie: </w:t>
      </w:r>
      <w:r>
        <w:t>Zeer hoog</w:t>
      </w:r>
    </w:p>
    <w:p>
      <w:pPr>
        <w:spacing w:after="40"/>
      </w:pPr>
      <w:r>
        <w:rPr>
          <w:b/>
        </w:rPr>
        <w:t xml:space="preserve">Doel: </w:t>
      </w:r>
      <w:r>
        <w:t>Formele vaststelling, positionering en publicatieverklaring van de herstelreeks SHPP003 binnen het CIV-CARE-kader HPP003.</w:t>
      </w:r>
    </w:p>
    <w:p>
      <w:pPr>
        <w:spacing w:after="40"/>
      </w:pPr>
      <w:r>
        <w:rPr>
          <w:b/>
        </w:rPr>
        <w:t xml:space="preserve">Categorie: </w:t>
      </w:r>
      <w:r>
        <w:t>Normatieve set – herstelreeks SHPP003</w:t>
      </w:r>
    </w:p>
    <w:p>
      <w:pPr>
        <w:spacing w:after="40"/>
      </w:pPr>
      <w:r>
        <w:rPr>
          <w:b/>
        </w:rPr>
        <w:t xml:space="preserve">Bestandsnaam: </w:t>
      </w:r>
      <w:r>
        <w:t>CIV-CARE_HPP003_P202_HPP003_Slotverklaring_Herstelreeks_SHPP003_v0_9.docx</w:t>
      </w:r>
    </w:p>
    <w:p>
      <w:pPr>
        <w:spacing w:after="40"/>
      </w:pPr>
      <w:r>
        <w:rPr>
          <w:b/>
        </w:rPr>
        <w:t xml:space="preserve">Bronnotitie: </w:t>
      </w:r>
      <w:r>
        <w:t>Bron-PDF-set: civ-care-positionpapers-shpp003.zip</w:t>
      </w:r>
    </w:p>
    <w:p>
      <w:pPr>
        <w:spacing w:after="200"/>
        <w:pBdr>
          <w:bottom w:val="single" w:sz="8" w:space="8" w:color="BFBFBF"/>
        </w:pBdr>
      </w:pPr>
    </w:p>
    <w:p>
      <w:pPr>
        <w:pStyle w:val="Heading1"/>
      </w:pPr>
      <w:r>
        <w:t>Executive Summary</w:t>
      </w:r>
    </w:p>
    <w:p>
      <w:r>
        <w:t>Deze slotverklaring markeert de formele vaststelling van de herstelreeks SHPP003 binnen CIV-CARE HPP003. De verklaring plaatst de acht position papers als samenhangend normatief kader dat herstel, proportionaliteit, tijdelijkheid en de-escalatie vooropstelt zonder nieuwe juridische regimes te introduceren.</w:t>
      </w:r>
    </w:p>
    <w:p>
      <w:r>
        <w:t>De bronversie is v0.9 en de bronstatus luidt: formeel vastgesteld normatief kader – open voor publieke reflectie. In deze DOCX-publicatie is de inhoud overgenomen zonder beoogde materiële wijziging, maar met expliciet wijzigingsoverzicht, metadata en verwijzing naar civ-care.nl voor deelname aan de op competentie gebaseerde samenwerking rond onderhoud en doorontwikkeling van deze normatieven.</w:t>
      </w:r>
    </w:p>
    <w:p>
      <w:pPr>
        <w:pStyle w:val="IntenseQuote"/>
      </w:pPr>
      <w:r>
        <w:t xml:space="preserve">Wanneer binnen of buiten dit pakket naar de herstelreeks wordt verwezen, moeten versie en status van de betrokken documenten steeds expliciet worden benoemd. Voor deelname aan de gezamenlijke, op competentie gebaseerde onderhouds- en doorontwikkelstructuur kan worden verwezen naar </w:t>
      </w:r>
      <w:hyperlink r:id="rId9">
        <w:r>
          <w:rPr>
            <w:color w:val="0563C1"/>
            <w:u w:val="single"/>
          </w:rPr>
          <w:t>civ-care.nl</w:t>
        </w:r>
      </w:hyperlink>
      <w:r>
        <w:t>.</w:t>
      </w:r>
    </w:p>
    <w:p>
      <w:pPr>
        <w:pStyle w:val="Heading1"/>
      </w:pPr>
      <w:r>
        <w:t>Wijzigingsoverzicht</w:t>
      </w:r>
    </w:p>
    <w:p>
      <w:r>
        <w:t>Versie 0.9 is in deze publicatie als bronversie gehandhaafd. Deze DOCX-uitgave brengt geen beoogde materiële wijziging in de bestuurlijke verklaring, maar formaliseert de plaats van dit document binnen de normatieve set van het HPP003-documentpakket.</w:t>
      </w:r>
    </w:p>
    <w:p>
      <w:pPr>
        <w:pStyle w:val="ListBullet"/>
      </w:pPr>
      <w:r>
        <w:t>Versie v0.9 en de status formeel vastgesteld normatief kader – open voor publieke reflectie zijn expliciet vastgelegd.</w:t>
      </w:r>
    </w:p>
    <w:p>
      <w:pPr>
        <w:pStyle w:val="ListBullet"/>
      </w:pPr>
      <w:r>
        <w:t>De slotverklaring is als zelfstandig DOCX-document opgenomen in de normatieve set van het pakket.</w:t>
      </w:r>
    </w:p>
    <w:p>
      <w:pPr>
        <w:pStyle w:val="ListBullet"/>
      </w:pPr>
      <w:r>
        <w:t>De verwijzing naar civ-care.nl voor deelname aan normatief onderhoud en doorontwikkeling is expliciet toegevoegd.</w:t>
      </w:r>
    </w:p>
    <w:p>
      <w:pPr>
        <w:pStyle w:val="Heading1"/>
      </w:pPr>
      <w:r>
        <w:t>1. Aanleiding en context</w:t>
      </w:r>
    </w:p>
    <w:p>
      <w:r>
        <w:t>Binnen zorg- en bestuursrechtelijke ketens doen zich structureel situaties voor waarin zorgrelaties vastlopen. Niet primair door individuele tekortkomingen, maar door cumulatie van systeemdynamieken zoals escalatie, juridisering, dossierdominantie en verantwoordelijkheidsdiffusie. De herstelreeks SHPP003-01 t/m SHPP003-08 is ontwikkeld als normatief en herstelgericht alternatief voor verdere escalatie, zonder uitbreiding van juridische strijd, bewijsvoering of schuldtoewijzing. Deze vaststellingsverklaring markeert de formele afronding en positionering van deze herstelreeks binnen CIV-CARE.</w:t>
      </w:r>
    </w:p>
    <w:p>
      <w:pPr>
        <w:pStyle w:val="Heading1"/>
      </w:pPr>
      <w:r>
        <w:t>2. Vaststelling van de herstelreeks SHPP003</w:t>
      </w:r>
    </w:p>
    <w:p>
      <w:r>
        <w:t>Het bestuur van Stichting De Kamer van Sociale Waarden stelt hierbij formeel vast dat de volgende documenten gezamenlijk de CIV-CARE P001-herstelreeks SHPP003 vormen:</w:t>
      </w:r>
    </w:p>
    <w:p>
      <w:pPr>
        <w:pStyle w:val="ListBullet"/>
      </w:pPr>
      <w:r>
        <w:t>SHPP003-01 – Herstel bij vastgelopen zorgrelaties</w:t>
      </w:r>
    </w:p>
    <w:p>
      <w:pPr>
        <w:pStyle w:val="ListBullet"/>
      </w:pPr>
      <w:r>
        <w:t>SHPP003-02 – Herstel zonder schuld of bewijsstrijd</w:t>
      </w:r>
    </w:p>
    <w:p>
      <w:pPr>
        <w:pStyle w:val="ListBullet"/>
      </w:pPr>
      <w:r>
        <w:t>SHPP003-03 – Tijdelijkheid, pauzering en heroverweging van zorg</w:t>
      </w:r>
    </w:p>
    <w:p>
      <w:pPr>
        <w:pStyle w:val="ListBullet"/>
      </w:pPr>
      <w:r>
        <w:t>SHPP003-04 – Herstel van directe communicatie</w:t>
      </w:r>
    </w:p>
    <w:p>
      <w:pPr>
        <w:pStyle w:val="ListBullet"/>
      </w:pPr>
      <w:r>
        <w:t>SHPP003-05 – Herstel van het sociaal netwerk</w:t>
      </w:r>
    </w:p>
    <w:p>
      <w:pPr>
        <w:pStyle w:val="ListBullet"/>
      </w:pPr>
      <w:r>
        <w:t>SHPP003-06 – Herstel van autonomie en zeggenschap</w:t>
      </w:r>
    </w:p>
    <w:p>
      <w:pPr>
        <w:pStyle w:val="ListBullet"/>
      </w:pPr>
      <w:r>
        <w:t>SHPP003-07 – Herstel van proportionaliteit, narratief en maatvoering</w:t>
      </w:r>
    </w:p>
    <w:p>
      <w:pPr>
        <w:pStyle w:val="ListBullet"/>
      </w:pPr>
      <w:r>
        <w:t>SHPP003-08 – Herstel zonder winnaar of verliezer</w:t>
      </w:r>
    </w:p>
    <w:p>
      <w:r>
        <w:t>Deze documenten vormen één samenhangend normatief kader, aangeduid als HPP003 – Herstel van vastgelopen zorgrelaties zonder juridisering.</w:t>
      </w:r>
    </w:p>
    <w:p>
      <w:pPr>
        <w:pStyle w:val="Heading1"/>
      </w:pPr>
      <w:r>
        <w:t>3. Normatieve positie van HPP003</w:t>
      </w:r>
    </w:p>
    <w:p>
      <w:r>
        <w:t>HPP003 introduceert geen nieuw juridisch regime, vervangt geen wet- of regelgeving, doet geen uitspraken over individuele zaken en bevat geen beschuldigingen of bewijsconstructies. De herstelreeks biedt een herstelgericht referentiekader dat kan worden gebruikt voorafgaand aan juridische procedures, parallel aan bestaande zorg- of bestuursprocessen, ter voorkoming van verdere escalatie en bij heroverweging, afronding of overdracht van zorg.</w:t>
      </w:r>
    </w:p>
    <w:p>
      <w:pPr>
        <w:pStyle w:val="Heading1"/>
      </w:pPr>
      <w:r>
        <w:t>4. Kernuitgangspunt</w:t>
      </w:r>
    </w:p>
    <w:p>
      <w:r>
        <w:t>Het centrale uitgangspunt van HPP003 luidt: herstel is geen strijd om gelijk, maar een gezamenlijke beweging weg van impasse.</w:t>
      </w:r>
    </w:p>
    <w:p>
      <w:pPr>
        <w:pStyle w:val="ListBullet"/>
      </w:pPr>
      <w:r>
        <w:t>relationeel in plaats van adversarieel;</w:t>
      </w:r>
    </w:p>
    <w:p>
      <w:pPr>
        <w:pStyle w:val="ListBullet"/>
      </w:pPr>
      <w:r>
        <w:t>tijdelijk in plaats van onbeperkt;</w:t>
      </w:r>
    </w:p>
    <w:p>
      <w:pPr>
        <w:pStyle w:val="ListBullet"/>
      </w:pPr>
      <w:r>
        <w:t>proportioneel in plaats van cumulatief;</w:t>
      </w:r>
    </w:p>
    <w:p>
      <w:pPr>
        <w:pStyle w:val="ListBullet"/>
      </w:pPr>
      <w:r>
        <w:t>toekomstgericht in plaats van dossiergedreven.</w:t>
      </w:r>
    </w:p>
    <w:p>
      <w:pPr>
        <w:pStyle w:val="Heading1"/>
      </w:pPr>
      <w:r>
        <w:t>5. Governance en versiestatus</w:t>
      </w:r>
    </w:p>
    <w:p>
      <w:r>
        <w:t>De herstelreeks SHPP003 maakt integraal deel uit van CIV-CARE P001, wordt gepubliceerd met transparant versiebeheer en kent in de bronset versie v0.9. Dat betekent dat de reeks inhoudelijk afgerond, normatief consistent en publiek toetsbaar en reflecteerbaar is. Wijzigingen kunnen uitsluitend plaatsvinden via expliciete versie-updates, openbare toelichting en governance-verantwoording binnen CIV-CARE.</w:t>
      </w:r>
    </w:p>
    <w:p>
      <w:pPr>
        <w:pStyle w:val="Heading1"/>
      </w:pPr>
      <w:r>
        <w:t>6. Publieke reflectie en toepassing</w:t>
      </w:r>
    </w:p>
    <w:p>
      <w:r>
        <w:t>De vaststelling van HPP003 sluit publieke reflectie niet uit, maar nodigt daar expliciet toe uit. De herstelreeks is bedoeld als gesprekskader, reflectie-instrument, herstelrichting en toetssteen voor proportionaliteit en menselijke maat, niet als processtuk, pressiemiddel of strategisch wapen.</w:t>
      </w:r>
    </w:p>
    <w:p>
      <w:r>
        <w:t xml:space="preserve">Voor deelname aan de op competentie gebaseerde samenwerking rond onderhoud en verdere ontwikkeling van deze normatieven kan worden verwezen naar </w:t>
      </w:r>
      <w:hyperlink r:id="rId9">
        <w:r>
          <w:rPr>
            <w:color w:val="0563C1"/>
            <w:u w:val="single"/>
          </w:rPr>
          <w:t>civ-care.nl</w:t>
        </w:r>
      </w:hyperlink>
      <w:r>
        <w:t>.</w:t>
      </w:r>
    </w:p>
    <w:p>
      <w:pPr>
        <w:pStyle w:val="Heading1"/>
      </w:pPr>
      <w:r>
        <w:t>7. Bestuursverklaring</w:t>
      </w:r>
    </w:p>
    <w:p>
      <w:r>
        <w:t>Het bestuur van Stichting De Kamer van Sociale Waarden verklaart hierbij dat de herstelreeks SHPP003 met deze vaststellingsverklaring formeel onderdeel is geworden van het CIV-CARE P001 normatief kader en beschikbaar wordt gesteld aan burgers, professionals, toezichthouders en rechtsprekende instanties als herstelgericht alternatief voor verdere escalatie en juridisering.</w:t>
      </w:r>
    </w:p>
    <w:p>
      <w:pPr>
        <w:pStyle w:val="Heading1"/>
      </w:pPr>
      <w:r>
        <w:t>8. Ondertekening</w:t>
      </w:r>
    </w:p>
    <w:p>
      <w:r>
        <w:t>Aldus vastgesteld,</w:t>
      </w:r>
    </w:p>
    <w:p>
      <w:r>
        <w:t>Namens het bestuur van Stichting De Kamer van Sociale Waarden,</w:t>
      </w:r>
    </w:p>
    <w:p>
      <w:r>
        <w:rPr>
          <w:b/>
        </w:rPr>
        <w:t>Alexander Groenheide</w:t>
      </w:r>
    </w:p>
    <w:p>
      <w:r>
        <w:t>Voorzitter</w:t>
      </w:r>
    </w:p>
    <w:p>
      <w:r>
        <w:t>Eygelshoven, 20 januari 2026</w:t>
      </w:r>
    </w:p>
    <w:p>
      <w:pPr>
        <w:pStyle w:val="Heading1"/>
      </w:pPr>
      <w:r>
        <w:t>9. Publicatie en beschikbaarheid</w:t>
      </w:r>
    </w:p>
    <w:p>
      <w:r>
        <w:t>De vastgestelde documenten zijn beschikbaar via:</w:t>
      </w:r>
    </w:p>
    <w:p>
      <w:pPr>
        <w:pStyle w:val="ListBullet"/>
      </w:pPr>
      <w:hyperlink r:id="rId10">
        <w:r>
          <w:rPr>
            <w:color w:val="0563C1"/>
            <w:u w:val="single"/>
          </w:rPr>
          <w:t>www.dekvsw.nl</w:t>
        </w:r>
      </w:hyperlink>
    </w:p>
    <w:p>
      <w:pPr>
        <w:pStyle w:val="ListBullet"/>
      </w:pPr>
      <w:hyperlink r:id="rId11">
        <w:r>
          <w:rPr>
            <w:color w:val="0563C1"/>
            <w:u w:val="single"/>
          </w:rPr>
          <w:t>www.civ-care.nl</w:t>
        </w:r>
      </w:hyperlink>
    </w:p>
    <w:p>
      <w:r>
        <w:t>Publicatie geschiedt met expliciet versiebeheer, statusduiding en governance-verantwoording.</w:t>
      </w:r>
    </w:p>
    <w:sectPr w:rsidR="00FC693F" w:rsidRPr="0006063C" w:rsidSect="00034616">
      <w:pgSz w:w="11906" w:h="16838"/>
      <w:pgMar w:top="862" w:right="862" w:bottom="794" w:left="862" w:header="454" w:footer="454"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20" w:line="276" w:lineRule="auto"/>
    </w:pPr>
    <w:rPr>
      <w:rFonts w:ascii="Aptos" w:hAnsi="Aptos"/>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00" w:after="80"/>
      <w:outlineLvl w:val="0"/>
    </w:pPr>
    <w:rPr>
      <w:rFonts w:asciiTheme="majorHAnsi" w:eastAsiaTheme="majorEastAsia" w:hAnsiTheme="majorHAnsi" w:cstheme="majorBidi" w:ascii="Aptos" w:hAnsi="Aptos"/>
      <w:b/>
      <w:bCs/>
      <w:color w:val="2F465C"/>
      <w:sz w:val="32"/>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60" w:after="120"/>
      <w:ind w:left="170" w:right="936"/>
    </w:pPr>
    <w:rPr>
      <w:rFonts w:ascii="Aptos" w:hAnsi="Aptos"/>
      <w:b/>
      <w:bCs/>
      <w:i/>
      <w:iCs/>
      <w:color w:val="4F81BD"/>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yperlink" Target="https://civ-care.nl" TargetMode="External"/><Relationship Id="rId10" Type="http://schemas.openxmlformats.org/officeDocument/2006/relationships/hyperlink" Target="https://www.dekvsw.nl" TargetMode="External"/><Relationship Id="rId11" Type="http://schemas.openxmlformats.org/officeDocument/2006/relationships/hyperlink" Target="https://www.civ-care.n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