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Aptos" w:hAnsi="Aptos"/>
          <w:b/>
          <w:i w:val="0"/>
          <w:sz w:val="26"/>
        </w:rPr>
        <w:t>CIV-CARE_HPP003_P201</w:t>
      </w:r>
    </w:p>
    <w:p>
      <w:pPr>
        <w:spacing w:after="40"/>
        <w:jc w:val="center"/>
      </w:pPr>
      <w:r>
        <w:rPr>
          <w:rFonts w:ascii="Aptos" w:hAnsi="Aptos"/>
          <w:b/>
          <w:i w:val="0"/>
          <w:sz w:val="38"/>
        </w:rPr>
        <w:t>Herstel-Inzetmatrix SHPP003</w:t>
      </w:r>
    </w:p>
    <w:p>
      <w:pPr>
        <w:spacing w:after="40"/>
        <w:jc w:val="center"/>
      </w:pPr>
      <w:r>
        <w:rPr>
          <w:rFonts w:ascii="Aptos" w:hAnsi="Aptos"/>
          <w:b/>
          <w:i/>
          <w:sz w:val="25"/>
        </w:rPr>
        <w:t>Operationeel normatief instrument voor de toepassing van de herstelreeks SHPP003</w:t>
      </w:r>
    </w:p>
    <w:p>
      <w:pPr>
        <w:spacing w:after="40"/>
      </w:pPr>
      <w:r>
        <w:rPr>
          <w:b/>
        </w:rPr>
        <w:t xml:space="preserve">Datum: </w:t>
      </w:r>
      <w:r>
        <w:t>20 januari 2026</w:t>
      </w:r>
    </w:p>
    <w:p>
      <w:pPr>
        <w:spacing w:after="40"/>
      </w:pPr>
      <w:r>
        <w:rPr>
          <w:b/>
        </w:rPr>
        <w:t xml:space="preserve">Versie: </w:t>
      </w:r>
      <w:r>
        <w:t>v0.9</w:t>
      </w:r>
    </w:p>
    <w:p>
      <w:pPr>
        <w:spacing w:after="40"/>
      </w:pPr>
      <w:r>
        <w:rPr>
          <w:b/>
        </w:rPr>
        <w:t xml:space="preserve">Status: </w:t>
      </w:r>
      <w:r>
        <w:t>Vastgesteld – ondersteunend normatief instrument</w:t>
      </w:r>
    </w:p>
    <w:p>
      <w:pPr>
        <w:spacing w:after="40"/>
      </w:pPr>
      <w:r>
        <w:rPr>
          <w:b/>
        </w:rPr>
        <w:t xml:space="preserve">Relevantie: </w:t>
      </w:r>
      <w:r>
        <w:t>Zeer hoog</w:t>
      </w:r>
    </w:p>
    <w:p>
      <w:pPr>
        <w:spacing w:after="40"/>
      </w:pPr>
      <w:r>
        <w:rPr>
          <w:b/>
        </w:rPr>
        <w:t xml:space="preserve">Doel: </w:t>
      </w:r>
      <w:r>
        <w:t>Operationele afwegingshulp voor toepassing, fasering en reflectieve inzet van SHPP003-01 t/m SHPP003-08.</w:t>
      </w:r>
    </w:p>
    <w:p>
      <w:pPr>
        <w:spacing w:after="40"/>
      </w:pPr>
      <w:r>
        <w:rPr>
          <w:b/>
        </w:rPr>
        <w:t xml:space="preserve">Categorie: </w:t>
      </w:r>
      <w:r>
        <w:t>Normatieve set – herstelreeks SHPP003</w:t>
      </w:r>
    </w:p>
    <w:p>
      <w:pPr>
        <w:spacing w:after="40"/>
      </w:pPr>
      <w:r>
        <w:rPr>
          <w:b/>
        </w:rPr>
        <w:t xml:space="preserve">Bestandsnaam: </w:t>
      </w:r>
      <w:r>
        <w:t>CIV-CARE_HPP003_P201_SHPP003_Herstel-Inzetmatrix_v0_9.docx</w:t>
      </w:r>
    </w:p>
    <w:p>
      <w:pPr>
        <w:spacing w:after="40"/>
      </w:pPr>
      <w:r>
        <w:rPr>
          <w:b/>
        </w:rPr>
        <w:t xml:space="preserve">Bronnotitie: </w:t>
      </w:r>
      <w:r>
        <w:t>Bron-PDF-set: civ-care-positionpapers-shpp003.zip</w:t>
      </w:r>
    </w:p>
    <w:p>
      <w:pPr>
        <w:spacing w:after="200"/>
        <w:pBdr>
          <w:bottom w:val="single" w:sz="8" w:space="8" w:color="BFBFBF"/>
        </w:pBdr>
      </w:pPr>
    </w:p>
    <w:p>
      <w:pPr>
        <w:pStyle w:val="Heading1"/>
      </w:pPr>
      <w:r>
        <w:t>Executive Summary</w:t>
      </w:r>
    </w:p>
    <w:p>
      <w:r>
        <w:t>Deze herstel-inzetmatrix operationaliseert de herstelreeks SHPP003 door herkenbare signalen van impasse te koppelen aan passende herstelposition papers en concrete, herstelgerichte interventies. De matrix is richtinggevend en reflectief: zij voorkomt te snelle juridisering en ondersteunt zorgvuldige keuze van het eerstvolgende herstelspoor.</w:t>
      </w:r>
    </w:p>
    <w:p>
      <w:r>
        <w:t>De bronversie is v0.9 en de bronstatus luidt: vastgesteld – ondersteunend normatief instrument. In deze DOCX-publicatie is de inhoud overgenomen zonder beoogde materiële wijziging, maar wel voorzien van een expliciet wijzigingsoverzicht, consistente metadata en een verwijzing naar civ-care.nl voor deelname aan de op competentie gebaseerde samenwerking rond onderhoud en doorontwikkeling van deze normatieven.</w:t>
      </w:r>
    </w:p>
    <w:p>
      <w:pPr>
        <w:pStyle w:val="IntenseQuote"/>
      </w:pPr>
      <w:r>
        <w:t xml:space="preserve">Voor deze documentset geldt dat versie en status niet stilzwijgend mogen worden verondersteld. Voor deelname aan de op competentie gebaseerde samenwerking rond onderhoud en verdere ontwikkeling van deze normatieven kan worden verwezen naar </w:t>
      </w:r>
      <w:hyperlink r:id="rId9">
        <w:r>
          <w:rPr>
            <w:color w:val="0563C1"/>
            <w:u w:val="single"/>
          </w:rPr>
          <w:t>civ-care.nl</w:t>
        </w:r>
      </w:hyperlink>
      <w:r>
        <w:t>.</w:t>
      </w:r>
    </w:p>
    <w:p>
      <w:pPr>
        <w:pStyle w:val="Heading1"/>
      </w:pPr>
      <w:r>
        <w:t>Wijzigingsoverzicht</w:t>
      </w:r>
    </w:p>
    <w:p>
      <w:r>
        <w:t>Versie 0.9 is in deze publicatie als bronversie gehandhaafd. Deze DOCX-uitgave brengt geen beoogde materiële wijziging in de normatieve inhoud, maar legt wel expliciet vast welke status, bronherkomst en onderhoudsroute bij het document horen.</w:t>
      </w:r>
    </w:p>
    <w:p>
      <w:pPr>
        <w:pStyle w:val="ListBullet"/>
      </w:pPr>
      <w:r>
        <w:t>Versie v0.9 en status vastgesteld – ondersteunend normatief instrument zijn expliciet vastgelegd in de metadata.</w:t>
      </w:r>
    </w:p>
    <w:p>
      <w:pPr>
        <w:pStyle w:val="ListBullet"/>
      </w:pPr>
      <w:r>
        <w:t>De inzetmatrix is als volwaardig DOCX-document opgenomen binnen de normatieve set van het HPP003-pakket.</w:t>
      </w:r>
    </w:p>
    <w:p>
      <w:pPr>
        <w:pStyle w:val="ListBullet"/>
      </w:pPr>
      <w:r>
        <w:t>De verwijzing naar civ-care.nl voor deelname aan de op competentie gebaseerde samenwerking rond onderhoud van deze normatieven is expliciet toegevoegd.</w:t>
      </w:r>
    </w:p>
    <w:p>
      <w:pPr>
        <w:pStyle w:val="Heading1"/>
      </w:pPr>
      <w:r>
        <w:t>1. Doel en functie van deze inzetmatrix</w:t>
      </w:r>
    </w:p>
    <w:p>
      <w:r>
        <w:t>Deze herstel-inzetmatrix ondersteunt de toepassing van de herstelposition papers SHPP003-01 t/m SHPP003-08. De matrix helpt bepalen welke herstelinterventie passend is bij een vastgelopen situatie, voorkomt onmiddellijke juridisering of escalatie, biedt een gestructureerde afwegingshulp en blijft nadrukkelijk richtinggevend in plaats van beslissend.</w:t>
      </w:r>
    </w:p>
    <w:p>
      <w:pPr>
        <w:pStyle w:val="ListBullet"/>
      </w:pPr>
      <w:r>
        <w:t>helpt bepalen welke herstelinterventie passend is bij een vastgelopen situatie;</w:t>
      </w:r>
    </w:p>
    <w:p>
      <w:pPr>
        <w:pStyle w:val="ListBullet"/>
      </w:pPr>
      <w:r>
        <w:t>voorkomt onmiddellijke juridisering of escalatie;</w:t>
      </w:r>
    </w:p>
    <w:p>
      <w:pPr>
        <w:pStyle w:val="ListBullet"/>
      </w:pPr>
      <w:r>
        <w:t>biedt een gestructureerde afwegingshulp voor professionals, cliënten, toezichthouders en bestuurders;</w:t>
      </w:r>
    </w:p>
    <w:p>
      <w:pPr>
        <w:pStyle w:val="ListBullet"/>
      </w:pPr>
      <w:r>
        <w:t>is niet beslissend, maar richtinggevend en reflectief.</w:t>
      </w:r>
    </w:p>
    <w:p>
      <w:r>
        <w:t>De matrix is inzetbaar vóór, tijdens en na zorg- of bestuursprocessen.</w:t>
      </w:r>
    </w:p>
    <w:p>
      <w:pPr>
        <w:pStyle w:val="Heading1"/>
      </w:pPr>
      <w:r>
        <w:t>2. Leeswijzer</w:t>
      </w:r>
    </w:p>
    <w:p>
      <w:pPr>
        <w:pStyle w:val="ListBullet"/>
      </w:pPr>
      <w:r>
        <w:t>De linkerkolom beschrijft signalen van impasse.</w:t>
      </w:r>
    </w:p>
    <w:p>
      <w:pPr>
        <w:pStyle w:val="ListBullet"/>
      </w:pPr>
      <w:r>
        <w:t>De middelste kolom koppelt deze signalen aan de passende herstelposition paper(s).</w:t>
      </w:r>
    </w:p>
    <w:p>
      <w:pPr>
        <w:pStyle w:val="ListBullet"/>
      </w:pPr>
      <w:r>
        <w:t>De rechterkolom benoemt herstelgerichte interventies.</w:t>
      </w:r>
    </w:p>
    <w:p>
      <w:r>
        <w:t>Meerdere SHPP-documenten kunnen gelijktijdig of sequentieel worden ingezet. De matrix ondersteunt die keuze, maar vervangt geen professionele of juridische oordeelsvorming.</w:t>
      </w:r>
    </w:p>
    <w:p>
      <w:pPr>
        <w:pStyle w:val="Heading1"/>
      </w:pPr>
      <w:r>
        <w:t>3. Herstel-Inzetmatrix</w:t>
      </w:r>
    </w:p>
    <w:p>
      <w:r>
        <w:t>Onderstaande matrix verbindt signalen van stagnatie en escalatie aan het meest passende herstelspoor binnen de SHPP003-reeks.</w:t>
      </w:r>
    </w:p>
    <w:tbl>
      <w:tblPr>
        <w:tblStyle w:val="TableGrid"/>
        <w:tblW w:type="auto" w:w="0"/>
        <w:jc w:val="center"/>
        <w:tblLook w:firstColumn="1" w:firstRow="1" w:lastColumn="0" w:lastRow="0" w:noHBand="0" w:noVBand="1" w:val="04A0"/>
        <w:tblBorders>
          <w:top w:val="single" w:sz="6" w:space="0" w:color="D9E2F3"/>
          <w:left w:val="single" w:sz="6" w:space="0" w:color="D9E2F3"/>
          <w:bottom w:val="single" w:sz="6" w:space="0" w:color="D9E2F3"/>
          <w:right w:val="single" w:sz="6" w:space="0" w:color="D9E2F3"/>
          <w:insideH w:val="single" w:sz="6" w:space="0" w:color="D9E2F3"/>
          <w:insideV w:val="single" w:sz="6" w:space="0" w:color="D9E2F3"/>
        </w:tblBorders>
      </w:tblPr>
      <w:tblGrid>
        <w:gridCol w:w="3394"/>
        <w:gridCol w:w="3394"/>
        <w:gridCol w:w="3394"/>
      </w:tblGrid>
      <w:tr>
        <w:tc>
          <w:tcPr>
            <w:tcW w:type="dxa" w:w="4082"/>
            <w:vAlign w:val="center"/>
            <w:shd w:fill="DCE6F1"/>
            <w:tcMar>
              <w:top w:w="90" w:type="dxa"/>
              <w:start w:w="100" w:type="dxa"/>
              <w:bottom w:w="90" w:type="dxa"/>
              <w:end w:w="100" w:type="dxa"/>
            </w:tcMar>
          </w:tcPr>
          <w:p>
            <w:pPr>
              <w:spacing w:after="0" w:line="264" w:lineRule="auto"/>
              <w:jc w:val="center"/>
            </w:pPr>
            <w:r/>
            <w:r>
              <w:rPr>
                <w:rFonts w:ascii="Aptos" w:hAnsi="Aptos"/>
                <w:b/>
                <w:sz w:val="20"/>
              </w:rPr>
              <w:t>Signaal / situatie</w:t>
            </w:r>
          </w:p>
        </w:tc>
        <w:tc>
          <w:tcPr>
            <w:tcW w:type="dxa" w:w="2324"/>
            <w:vAlign w:val="center"/>
            <w:shd w:fill="DCE6F1"/>
            <w:tcMar>
              <w:top w:w="90" w:type="dxa"/>
              <w:start w:w="100" w:type="dxa"/>
              <w:bottom w:w="90" w:type="dxa"/>
              <w:end w:w="100" w:type="dxa"/>
            </w:tcMar>
          </w:tcPr>
          <w:p>
            <w:pPr>
              <w:spacing w:after="0" w:line="264" w:lineRule="auto"/>
              <w:jc w:val="center"/>
            </w:pPr>
            <w:r/>
            <w:r>
              <w:rPr>
                <w:rFonts w:ascii="Aptos" w:hAnsi="Aptos"/>
                <w:b/>
                <w:sz w:val="20"/>
              </w:rPr>
              <w:t>Passende herstelpositionpaper(s)</w:t>
            </w:r>
          </w:p>
        </w:tc>
        <w:tc>
          <w:tcPr>
            <w:tcW w:type="dxa" w:w="3515"/>
            <w:vAlign w:val="center"/>
            <w:shd w:fill="DCE6F1"/>
            <w:tcMar>
              <w:top w:w="90" w:type="dxa"/>
              <w:start w:w="100" w:type="dxa"/>
              <w:bottom w:w="90" w:type="dxa"/>
              <w:end w:w="100" w:type="dxa"/>
            </w:tcMar>
          </w:tcPr>
          <w:p>
            <w:pPr>
              <w:spacing w:after="0" w:line="264" w:lineRule="auto"/>
              <w:jc w:val="center"/>
            </w:pPr>
            <w:r/>
            <w:r>
              <w:rPr>
                <w:rFonts w:ascii="Aptos" w:hAnsi="Aptos"/>
                <w:b/>
                <w:sz w:val="20"/>
              </w:rPr>
              <w:t>Herstelgerichte inzet</w:t>
            </w:r>
          </w:p>
        </w:tc>
      </w:tr>
      <w:tr>
        <w:tc>
          <w:tcPr>
            <w:tcW w:type="dxa" w:w="4082"/>
            <w:vAlign w:val="center"/>
            <w:tcMar>
              <w:top w:w="85" w:type="dxa"/>
              <w:start w:w="95" w:type="dxa"/>
              <w:bottom w:w="85" w:type="dxa"/>
              <w:end w:w="95" w:type="dxa"/>
            </w:tcMar>
          </w:tcPr>
          <w:p>
            <w:pPr>
              <w:spacing w:after="0" w:line="264" w:lineRule="auto"/>
              <w:jc w:val="left"/>
            </w:pPr>
            <w:r/>
            <w:r>
              <w:rPr>
                <w:rFonts w:ascii="Aptos" w:hAnsi="Aptos"/>
                <w:b w:val="0"/>
                <w:sz w:val="20"/>
              </w:rPr>
              <w:t>Communicatie is vastgelopen, contact verloopt uitsluitend via derden of dossiers</w:t>
            </w:r>
          </w:p>
        </w:tc>
        <w:tc>
          <w:tcPr>
            <w:tcW w:type="dxa" w:w="2324"/>
            <w:vAlign w:val="center"/>
            <w:tcMar>
              <w:top w:w="85" w:type="dxa"/>
              <w:start w:w="95" w:type="dxa"/>
              <w:bottom w:w="85" w:type="dxa"/>
              <w:end w:w="95" w:type="dxa"/>
            </w:tcMar>
          </w:tcPr>
          <w:p>
            <w:pPr>
              <w:spacing w:after="0" w:line="264" w:lineRule="auto"/>
              <w:jc w:val="center"/>
            </w:pPr>
            <w:r/>
            <w:r>
              <w:rPr>
                <w:rFonts w:ascii="Aptos" w:hAnsi="Aptos"/>
                <w:b w:val="0"/>
                <w:sz w:val="20"/>
              </w:rPr>
              <w:t>SHPP003-01, SHPP003-04</w:t>
            </w:r>
          </w:p>
        </w:tc>
        <w:tc>
          <w:tcPr>
            <w:tcW w:type="dxa" w:w="3515"/>
            <w:vAlign w:val="center"/>
            <w:tcMar>
              <w:top w:w="85" w:type="dxa"/>
              <w:start w:w="95" w:type="dxa"/>
              <w:bottom w:w="85" w:type="dxa"/>
              <w:end w:w="95" w:type="dxa"/>
            </w:tcMar>
          </w:tcPr>
          <w:p>
            <w:pPr>
              <w:spacing w:after="0" w:line="264" w:lineRule="auto"/>
              <w:jc w:val="left"/>
            </w:pPr>
            <w:r/>
            <w:r>
              <w:rPr>
                <w:rFonts w:ascii="Aptos" w:hAnsi="Aptos"/>
                <w:b w:val="0"/>
                <w:sz w:val="20"/>
              </w:rPr>
              <w:t>Tijdelijke communicatiestop via keten; heropening van directe, begeleide dialoog</w:t>
            </w:r>
          </w:p>
        </w:tc>
      </w:tr>
      <w:tr>
        <w:tc>
          <w:tcPr>
            <w:tcW w:type="dxa" w:w="4082"/>
            <w:vAlign w:val="center"/>
            <w:tcMar>
              <w:top w:w="85" w:type="dxa"/>
              <w:start w:w="95" w:type="dxa"/>
              <w:bottom w:w="85" w:type="dxa"/>
              <w:end w:w="95" w:type="dxa"/>
            </w:tcMar>
          </w:tcPr>
          <w:p>
            <w:pPr>
              <w:spacing w:after="0" w:line="264" w:lineRule="auto"/>
              <w:jc w:val="left"/>
            </w:pPr>
            <w:r/>
            <w:r>
              <w:rPr>
                <w:rFonts w:ascii="Aptos" w:hAnsi="Aptos"/>
                <w:b w:val="0"/>
                <w:sz w:val="20"/>
              </w:rPr>
              <w:t>Escalatie dreigt door schuldvragen, klachten of juridische framing</w:t>
            </w:r>
          </w:p>
        </w:tc>
        <w:tc>
          <w:tcPr>
            <w:tcW w:type="dxa" w:w="2324"/>
            <w:vAlign w:val="center"/>
            <w:tcMar>
              <w:top w:w="85" w:type="dxa"/>
              <w:start w:w="95" w:type="dxa"/>
              <w:bottom w:w="85" w:type="dxa"/>
              <w:end w:w="95" w:type="dxa"/>
            </w:tcMar>
          </w:tcPr>
          <w:p>
            <w:pPr>
              <w:spacing w:after="0" w:line="264" w:lineRule="auto"/>
              <w:jc w:val="center"/>
            </w:pPr>
            <w:r/>
            <w:r>
              <w:rPr>
                <w:rFonts w:ascii="Aptos" w:hAnsi="Aptos"/>
                <w:b w:val="0"/>
                <w:sz w:val="20"/>
              </w:rPr>
              <w:t>SHPP003-02</w:t>
            </w:r>
          </w:p>
        </w:tc>
        <w:tc>
          <w:tcPr>
            <w:tcW w:type="dxa" w:w="3515"/>
            <w:vAlign w:val="center"/>
            <w:tcMar>
              <w:top w:w="85" w:type="dxa"/>
              <w:start w:w="95" w:type="dxa"/>
              <w:bottom w:w="85" w:type="dxa"/>
              <w:end w:w="95" w:type="dxa"/>
            </w:tcMar>
          </w:tcPr>
          <w:p>
            <w:pPr>
              <w:spacing w:after="0" w:line="264" w:lineRule="auto"/>
              <w:jc w:val="left"/>
            </w:pPr>
            <w:r/>
            <w:r>
              <w:rPr>
                <w:rFonts w:ascii="Aptos" w:hAnsi="Aptos"/>
                <w:b w:val="0"/>
                <w:sz w:val="20"/>
              </w:rPr>
              <w:t>Expliciete de-escalatie: opschorting van schuld- en bewijsdiscussies</w:t>
            </w:r>
          </w:p>
        </w:tc>
      </w:tr>
      <w:tr>
        <w:tc>
          <w:tcPr>
            <w:tcW w:type="dxa" w:w="4082"/>
            <w:vAlign w:val="center"/>
            <w:tcMar>
              <w:top w:w="85" w:type="dxa"/>
              <w:start w:w="95" w:type="dxa"/>
              <w:bottom w:w="85" w:type="dxa"/>
              <w:end w:w="95" w:type="dxa"/>
            </w:tcMar>
          </w:tcPr>
          <w:p>
            <w:pPr>
              <w:spacing w:after="0" w:line="264" w:lineRule="auto"/>
              <w:jc w:val="left"/>
            </w:pPr>
            <w:r/>
            <w:r>
              <w:rPr>
                <w:rFonts w:ascii="Aptos" w:hAnsi="Aptos"/>
                <w:b w:val="0"/>
                <w:sz w:val="20"/>
              </w:rPr>
              <w:t>Zorg loopt door zonder herbeoordeling of eindpunt</w:t>
            </w:r>
          </w:p>
        </w:tc>
        <w:tc>
          <w:tcPr>
            <w:tcW w:type="dxa" w:w="2324"/>
            <w:vAlign w:val="center"/>
            <w:tcMar>
              <w:top w:w="85" w:type="dxa"/>
              <w:start w:w="95" w:type="dxa"/>
              <w:bottom w:w="85" w:type="dxa"/>
              <w:end w:w="95" w:type="dxa"/>
            </w:tcMar>
          </w:tcPr>
          <w:p>
            <w:pPr>
              <w:spacing w:after="0" w:line="264" w:lineRule="auto"/>
              <w:jc w:val="center"/>
            </w:pPr>
            <w:r/>
            <w:r>
              <w:rPr>
                <w:rFonts w:ascii="Aptos" w:hAnsi="Aptos"/>
                <w:b w:val="0"/>
                <w:sz w:val="20"/>
              </w:rPr>
              <w:t>SHPP003-03, SHPP003-08</w:t>
            </w:r>
          </w:p>
        </w:tc>
        <w:tc>
          <w:tcPr>
            <w:tcW w:type="dxa" w:w="3515"/>
            <w:vAlign w:val="center"/>
            <w:tcMar>
              <w:top w:w="85" w:type="dxa"/>
              <w:start w:w="95" w:type="dxa"/>
              <w:bottom w:w="85" w:type="dxa"/>
              <w:end w:w="95" w:type="dxa"/>
            </w:tcMar>
          </w:tcPr>
          <w:p>
            <w:pPr>
              <w:spacing w:after="0" w:line="264" w:lineRule="auto"/>
              <w:jc w:val="left"/>
            </w:pPr>
            <w:r/>
            <w:r>
              <w:rPr>
                <w:rFonts w:ascii="Aptos" w:hAnsi="Aptos"/>
                <w:b w:val="0"/>
                <w:sz w:val="20"/>
              </w:rPr>
              <w:t>Formele pauzering, heroverweging en expliciete exitverkenning</w:t>
            </w:r>
          </w:p>
        </w:tc>
      </w:tr>
      <w:tr>
        <w:tc>
          <w:tcPr>
            <w:tcW w:type="dxa" w:w="4082"/>
            <w:vAlign w:val="center"/>
            <w:tcMar>
              <w:top w:w="85" w:type="dxa"/>
              <w:start w:w="95" w:type="dxa"/>
              <w:bottom w:w="85" w:type="dxa"/>
              <w:end w:w="95" w:type="dxa"/>
            </w:tcMar>
          </w:tcPr>
          <w:p>
            <w:pPr>
              <w:spacing w:after="0" w:line="264" w:lineRule="auto"/>
              <w:jc w:val="left"/>
            </w:pPr>
            <w:r/>
            <w:r>
              <w:rPr>
                <w:rFonts w:ascii="Aptos" w:hAnsi="Aptos"/>
                <w:b w:val="0"/>
                <w:sz w:val="20"/>
              </w:rPr>
              <w:t>Cliënt ervaart verlies van zeggenschap of handelingsruimte</w:t>
            </w:r>
          </w:p>
        </w:tc>
        <w:tc>
          <w:tcPr>
            <w:tcW w:type="dxa" w:w="2324"/>
            <w:vAlign w:val="center"/>
            <w:tcMar>
              <w:top w:w="85" w:type="dxa"/>
              <w:start w:w="95" w:type="dxa"/>
              <w:bottom w:w="85" w:type="dxa"/>
              <w:end w:w="95" w:type="dxa"/>
            </w:tcMar>
          </w:tcPr>
          <w:p>
            <w:pPr>
              <w:spacing w:after="0" w:line="264" w:lineRule="auto"/>
              <w:jc w:val="center"/>
            </w:pPr>
            <w:r/>
            <w:r>
              <w:rPr>
                <w:rFonts w:ascii="Aptos" w:hAnsi="Aptos"/>
                <w:b w:val="0"/>
                <w:sz w:val="20"/>
              </w:rPr>
              <w:t>SHPP003-06</w:t>
            </w:r>
          </w:p>
        </w:tc>
        <w:tc>
          <w:tcPr>
            <w:tcW w:type="dxa" w:w="3515"/>
            <w:vAlign w:val="center"/>
            <w:tcMar>
              <w:top w:w="85" w:type="dxa"/>
              <w:start w:w="95" w:type="dxa"/>
              <w:bottom w:w="85" w:type="dxa"/>
              <w:end w:w="95" w:type="dxa"/>
            </w:tcMar>
          </w:tcPr>
          <w:p>
            <w:pPr>
              <w:spacing w:after="0" w:line="264" w:lineRule="auto"/>
              <w:jc w:val="left"/>
            </w:pPr>
            <w:r/>
            <w:r>
              <w:rPr>
                <w:rFonts w:ascii="Aptos" w:hAnsi="Aptos"/>
                <w:b w:val="0"/>
                <w:sz w:val="20"/>
              </w:rPr>
              <w:t>Herstel van autonomie: herijking van beslisruimte en informed consent</w:t>
            </w:r>
          </w:p>
        </w:tc>
      </w:tr>
      <w:tr>
        <w:tc>
          <w:tcPr>
            <w:tcW w:type="dxa" w:w="4082"/>
            <w:vAlign w:val="center"/>
            <w:tcMar>
              <w:top w:w="85" w:type="dxa"/>
              <w:start w:w="95" w:type="dxa"/>
              <w:bottom w:w="85" w:type="dxa"/>
              <w:end w:w="95" w:type="dxa"/>
            </w:tcMar>
          </w:tcPr>
          <w:p>
            <w:pPr>
              <w:spacing w:after="0" w:line="264" w:lineRule="auto"/>
              <w:jc w:val="left"/>
            </w:pPr>
            <w:r/>
            <w:r>
              <w:rPr>
                <w:rFonts w:ascii="Aptos" w:hAnsi="Aptos"/>
                <w:b w:val="0"/>
                <w:sz w:val="20"/>
              </w:rPr>
              <w:t>Sociaal netwerk is buitengesloten of genegeerd</w:t>
            </w:r>
          </w:p>
        </w:tc>
        <w:tc>
          <w:tcPr>
            <w:tcW w:type="dxa" w:w="2324"/>
            <w:vAlign w:val="center"/>
            <w:tcMar>
              <w:top w:w="85" w:type="dxa"/>
              <w:start w:w="95" w:type="dxa"/>
              <w:bottom w:w="85" w:type="dxa"/>
              <w:end w:w="95" w:type="dxa"/>
            </w:tcMar>
          </w:tcPr>
          <w:p>
            <w:pPr>
              <w:spacing w:after="0" w:line="264" w:lineRule="auto"/>
              <w:jc w:val="center"/>
            </w:pPr>
            <w:r/>
            <w:r>
              <w:rPr>
                <w:rFonts w:ascii="Aptos" w:hAnsi="Aptos"/>
                <w:b w:val="0"/>
                <w:sz w:val="20"/>
              </w:rPr>
              <w:t>SHPP003-05</w:t>
            </w:r>
          </w:p>
        </w:tc>
        <w:tc>
          <w:tcPr>
            <w:tcW w:type="dxa" w:w="3515"/>
            <w:vAlign w:val="center"/>
            <w:tcMar>
              <w:top w:w="85" w:type="dxa"/>
              <w:start w:w="95" w:type="dxa"/>
              <w:bottom w:w="85" w:type="dxa"/>
              <w:end w:w="95" w:type="dxa"/>
            </w:tcMar>
          </w:tcPr>
          <w:p>
            <w:pPr>
              <w:spacing w:after="0" w:line="264" w:lineRule="auto"/>
              <w:jc w:val="left"/>
            </w:pPr>
            <w:r/>
            <w:r>
              <w:rPr>
                <w:rFonts w:ascii="Aptos" w:hAnsi="Aptos"/>
                <w:b w:val="0"/>
                <w:sz w:val="20"/>
              </w:rPr>
              <w:t>Netwerkherstel: herintroductie van betekenisvolle relaties</w:t>
            </w:r>
          </w:p>
        </w:tc>
      </w:tr>
      <w:tr>
        <w:tc>
          <w:tcPr>
            <w:tcW w:type="dxa" w:w="4082"/>
            <w:vAlign w:val="center"/>
            <w:tcMar>
              <w:top w:w="85" w:type="dxa"/>
              <w:start w:w="95" w:type="dxa"/>
              <w:bottom w:w="85" w:type="dxa"/>
              <w:end w:w="95" w:type="dxa"/>
            </w:tcMar>
          </w:tcPr>
          <w:p>
            <w:pPr>
              <w:spacing w:after="0" w:line="264" w:lineRule="auto"/>
              <w:jc w:val="left"/>
            </w:pPr>
            <w:r/>
            <w:r>
              <w:rPr>
                <w:rFonts w:ascii="Aptos" w:hAnsi="Aptos"/>
                <w:b w:val="0"/>
                <w:sz w:val="20"/>
              </w:rPr>
              <w:t>Besluiten worden diffuus genomen binnen ketens</w:t>
            </w:r>
          </w:p>
        </w:tc>
        <w:tc>
          <w:tcPr>
            <w:tcW w:type="dxa" w:w="2324"/>
            <w:vAlign w:val="center"/>
            <w:tcMar>
              <w:top w:w="85" w:type="dxa"/>
              <w:start w:w="95" w:type="dxa"/>
              <w:bottom w:w="85" w:type="dxa"/>
              <w:end w:w="95" w:type="dxa"/>
            </w:tcMar>
          </w:tcPr>
          <w:p>
            <w:pPr>
              <w:spacing w:after="0" w:line="264" w:lineRule="auto"/>
              <w:jc w:val="center"/>
            </w:pPr>
            <w:r/>
            <w:r>
              <w:rPr>
                <w:rFonts w:ascii="Aptos" w:hAnsi="Aptos"/>
                <w:b w:val="0"/>
                <w:sz w:val="20"/>
              </w:rPr>
              <w:t>SHPP003-06, SHPP003-07</w:t>
            </w:r>
          </w:p>
        </w:tc>
        <w:tc>
          <w:tcPr>
            <w:tcW w:type="dxa" w:w="3515"/>
            <w:vAlign w:val="center"/>
            <w:tcMar>
              <w:top w:w="85" w:type="dxa"/>
              <w:start w:w="95" w:type="dxa"/>
              <w:bottom w:w="85" w:type="dxa"/>
              <w:end w:w="95" w:type="dxa"/>
            </w:tcMar>
          </w:tcPr>
          <w:p>
            <w:pPr>
              <w:spacing w:after="0" w:line="264" w:lineRule="auto"/>
              <w:jc w:val="left"/>
            </w:pPr>
            <w:r/>
            <w:r>
              <w:rPr>
                <w:rFonts w:ascii="Aptos" w:hAnsi="Aptos"/>
                <w:b w:val="0"/>
                <w:sz w:val="20"/>
              </w:rPr>
              <w:t>Verantwoordelijkheidsverheldering en proportionele herijking</w:t>
            </w:r>
          </w:p>
        </w:tc>
      </w:tr>
      <w:tr>
        <w:tc>
          <w:tcPr>
            <w:tcW w:type="dxa" w:w="4082"/>
            <w:vAlign w:val="center"/>
            <w:tcMar>
              <w:top w:w="85" w:type="dxa"/>
              <w:start w:w="95" w:type="dxa"/>
              <w:bottom w:w="85" w:type="dxa"/>
              <w:end w:w="95" w:type="dxa"/>
            </w:tcMar>
          </w:tcPr>
          <w:p>
            <w:pPr>
              <w:spacing w:after="0" w:line="264" w:lineRule="auto"/>
              <w:jc w:val="left"/>
            </w:pPr>
            <w:r/>
            <w:r>
              <w:rPr>
                <w:rFonts w:ascii="Aptos" w:hAnsi="Aptos"/>
                <w:b w:val="0"/>
                <w:sz w:val="20"/>
              </w:rPr>
              <w:t>Dossier bepaalt het gesprek, narratief is gefixeerd</w:t>
            </w:r>
          </w:p>
        </w:tc>
        <w:tc>
          <w:tcPr>
            <w:tcW w:type="dxa" w:w="2324"/>
            <w:vAlign w:val="center"/>
            <w:tcMar>
              <w:top w:w="85" w:type="dxa"/>
              <w:start w:w="95" w:type="dxa"/>
              <w:bottom w:w="85" w:type="dxa"/>
              <w:end w:w="95" w:type="dxa"/>
            </w:tcMar>
          </w:tcPr>
          <w:p>
            <w:pPr>
              <w:spacing w:after="0" w:line="264" w:lineRule="auto"/>
              <w:jc w:val="center"/>
            </w:pPr>
            <w:r/>
            <w:r>
              <w:rPr>
                <w:rFonts w:ascii="Aptos" w:hAnsi="Aptos"/>
                <w:b w:val="0"/>
                <w:sz w:val="20"/>
              </w:rPr>
              <w:t>SHPP003-07</w:t>
            </w:r>
          </w:p>
        </w:tc>
        <w:tc>
          <w:tcPr>
            <w:tcW w:type="dxa" w:w="3515"/>
            <w:vAlign w:val="center"/>
            <w:tcMar>
              <w:top w:w="85" w:type="dxa"/>
              <w:start w:w="95" w:type="dxa"/>
              <w:bottom w:w="85" w:type="dxa"/>
              <w:end w:w="95" w:type="dxa"/>
            </w:tcMar>
          </w:tcPr>
          <w:p>
            <w:pPr>
              <w:spacing w:after="0" w:line="264" w:lineRule="auto"/>
              <w:jc w:val="left"/>
            </w:pPr>
            <w:r/>
            <w:r>
              <w:rPr>
                <w:rFonts w:ascii="Aptos" w:hAnsi="Aptos"/>
                <w:b w:val="0"/>
                <w:sz w:val="20"/>
              </w:rPr>
              <w:t>Narratief openen: onderscheid tussen dossier en actuele werkelijkheid</w:t>
            </w:r>
          </w:p>
        </w:tc>
      </w:tr>
      <w:tr>
        <w:tc>
          <w:tcPr>
            <w:tcW w:type="dxa" w:w="4082"/>
            <w:vAlign w:val="center"/>
            <w:tcMar>
              <w:top w:w="85" w:type="dxa"/>
              <w:start w:w="95" w:type="dxa"/>
              <w:bottom w:w="85" w:type="dxa"/>
              <w:end w:w="95" w:type="dxa"/>
            </w:tcMar>
          </w:tcPr>
          <w:p>
            <w:pPr>
              <w:spacing w:after="0" w:line="264" w:lineRule="auto"/>
              <w:jc w:val="left"/>
            </w:pPr>
            <w:r/>
            <w:r>
              <w:rPr>
                <w:rFonts w:ascii="Aptos" w:hAnsi="Aptos"/>
                <w:b w:val="0"/>
                <w:sz w:val="20"/>
              </w:rPr>
              <w:t>Geen van de partijen ziet nog een uitweg zonder verlies</w:t>
            </w:r>
          </w:p>
        </w:tc>
        <w:tc>
          <w:tcPr>
            <w:tcW w:type="dxa" w:w="2324"/>
            <w:vAlign w:val="center"/>
            <w:tcMar>
              <w:top w:w="85" w:type="dxa"/>
              <w:start w:w="95" w:type="dxa"/>
              <w:bottom w:w="85" w:type="dxa"/>
              <w:end w:w="95" w:type="dxa"/>
            </w:tcMar>
          </w:tcPr>
          <w:p>
            <w:pPr>
              <w:spacing w:after="0" w:line="264" w:lineRule="auto"/>
              <w:jc w:val="center"/>
            </w:pPr>
            <w:r/>
            <w:r>
              <w:rPr>
                <w:rFonts w:ascii="Aptos" w:hAnsi="Aptos"/>
                <w:b w:val="0"/>
                <w:sz w:val="20"/>
              </w:rPr>
              <w:t>SHPP003-08</w:t>
            </w:r>
          </w:p>
        </w:tc>
        <w:tc>
          <w:tcPr>
            <w:tcW w:type="dxa" w:w="3515"/>
            <w:vAlign w:val="center"/>
            <w:tcMar>
              <w:top w:w="85" w:type="dxa"/>
              <w:start w:w="95" w:type="dxa"/>
              <w:bottom w:w="85" w:type="dxa"/>
              <w:end w:w="95" w:type="dxa"/>
            </w:tcMar>
          </w:tcPr>
          <w:p>
            <w:pPr>
              <w:spacing w:after="0" w:line="264" w:lineRule="auto"/>
              <w:jc w:val="left"/>
            </w:pPr>
            <w:r/>
            <w:r>
              <w:rPr>
                <w:rFonts w:ascii="Aptos" w:hAnsi="Aptos"/>
                <w:b w:val="0"/>
                <w:sz w:val="20"/>
              </w:rPr>
              <w:t>Herstel zonder winnaar of verliezer; gezamenlijke afronding</w:t>
            </w:r>
          </w:p>
        </w:tc>
      </w:tr>
    </w:tbl>
    <w:p>
      <w:pPr>
        <w:spacing w:after="120"/>
      </w:pPr>
    </w:p>
    <w:p>
      <w:pPr>
        <w:pStyle w:val="Heading1"/>
      </w:pPr>
      <w:r>
        <w:t>4. Fasering van inzet (herstelboog)</w:t>
      </w:r>
    </w:p>
    <w:p>
      <w:r>
        <w:t>De inzet van SHPP003 volgt idealiter een herstelvolgorde die stabilisatie, de-escalatie, heroverweging en afronding met elkaar verbindt. Afwijking van deze volgorde is mogelijk wanneer de feitelijke situatie dat vereist.</w:t>
      </w:r>
    </w:p>
    <w:p>
      <w:pPr>
        <w:pStyle w:val="ListNumber"/>
      </w:pPr>
      <w:r>
        <w:t>Stabilisatie en erkenning van impasse – SHPP003-01</w:t>
      </w:r>
    </w:p>
    <w:p>
      <w:pPr>
        <w:pStyle w:val="ListNumber"/>
      </w:pPr>
      <w:r>
        <w:t>De-escalatie zonder schuld – SHPP003-02</w:t>
      </w:r>
    </w:p>
    <w:p>
      <w:pPr>
        <w:pStyle w:val="ListNumber"/>
      </w:pPr>
      <w:r>
        <w:t>Pauzering en tijdelijkheid – SHPP003-03</w:t>
      </w:r>
    </w:p>
    <w:p>
      <w:pPr>
        <w:pStyle w:val="ListNumber"/>
      </w:pPr>
      <w:r>
        <w:t>Herstel van directe communicatie – SHPP003-04</w:t>
      </w:r>
    </w:p>
    <w:p>
      <w:pPr>
        <w:pStyle w:val="ListNumber"/>
      </w:pPr>
      <w:r>
        <w:t>Herstel van sociaal netwerk – SHPP003-05</w:t>
      </w:r>
    </w:p>
    <w:p>
      <w:pPr>
        <w:pStyle w:val="ListNumber"/>
      </w:pPr>
      <w:r>
        <w:t>Herstel van autonomie en verantwoordelijkheid – SHPP003-06</w:t>
      </w:r>
    </w:p>
    <w:p>
      <w:pPr>
        <w:pStyle w:val="ListNumber"/>
      </w:pPr>
      <w:r>
        <w:t>Herstel van proportionaliteit en narratief – SHPP003-07</w:t>
      </w:r>
    </w:p>
    <w:p>
      <w:pPr>
        <w:pStyle w:val="ListNumber"/>
      </w:pPr>
      <w:r>
        <w:t>Herstelgerichte afronding en toekomst – SHPP003-08</w:t>
      </w:r>
    </w:p>
    <w:p>
      <w:pPr>
        <w:pStyle w:val="Heading1"/>
      </w:pPr>
      <w:r>
        <w:t>5. Wat deze matrix nadrukkelijk niet is</w:t>
      </w:r>
    </w:p>
    <w:p>
      <w:r>
        <w:t>Deze inzetmatrix is geen beslisboom met dwingende uitkomsten. Zij vervangt geen wettelijke toetsing of rechterlijk oordeel en is niet bedoeld voor sanctionering, bewijsvoering of het legitimeren van bestaande escalatie. Zij functioneert als normatief kompas, niet als instrument van macht.</w:t>
      </w:r>
    </w:p>
    <w:p>
      <w:pPr>
        <w:pStyle w:val="Heading1"/>
      </w:pPr>
      <w:r>
        <w:t>6. Governance en gebruik</w:t>
      </w:r>
    </w:p>
    <w:p>
      <w:r>
        <w:t>Gebruik van deze matrix is vrijwillig maar verantwoord, vereist expliciete reflectie en transparantie en kan worden vastgelegd in dossiers als hersteloverweging, niet als oordeel. Wijzigingen of uitbreidingen volgen het CIV-CARE versie- en governancekader.</w:t>
      </w:r>
    </w:p>
    <w:p>
      <w:r>
        <w:t xml:space="preserve">Wanneer deze matrix in samenhang met position papers wordt aangehaald, moeten versie en status van die documenten steeds expliciet worden benoemd. Voor deelname aan de op competentie gebaseerde samenwerking rond onderhoud en doorontwikkeling van deze normatieven kan worden verwezen naar </w:t>
      </w:r>
      <w:hyperlink r:id="rId9">
        <w:r>
          <w:rPr>
            <w:color w:val="0563C1"/>
            <w:u w:val="single"/>
          </w:rPr>
          <w:t>civ-care.nl</w:t>
        </w:r>
      </w:hyperlink>
      <w:r>
        <w:t>.</w:t>
      </w:r>
    </w:p>
    <w:p>
      <w:pPr>
        <w:pStyle w:val="Heading1"/>
      </w:pPr>
      <w:r>
        <w:t>7. Slot</w:t>
      </w:r>
    </w:p>
    <w:p>
      <w:r>
        <w:t>De herstel-inzetmatrix SHPP003 operationaliseert het uitgangspunt: herstel vraagt om richting, niet om strijd. Deze matrix biedt die richting – toetsbaar, menselijk en proportioneel.</w:t>
      </w:r>
    </w:p>
    <w:sectPr w:rsidR="00FC693F" w:rsidRPr="0006063C" w:rsidSect="00034616">
      <w:pgSz w:w="11906" w:h="16838"/>
      <w:pgMar w:top="862" w:right="862" w:bottom="794" w:left="862"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Aptos" w:hAnsi="Aptos"/>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8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60" w:after="120"/>
      <w:ind w:left="170" w:right="936"/>
    </w:pPr>
    <w:rPr>
      <w:rFonts w:ascii="Aptos" w:hAnsi="Aptos"/>
      <w:b/>
      <w:bCs/>
      <w:i/>
      <w:iCs/>
      <w:color w:val="4F81BD"/>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civ-care.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