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6"/>
        </w:rPr>
        <w:t>CIV-CARE_HPP003_P000</w:t>
      </w:r>
    </w:p>
    <w:p>
      <w:pPr>
        <w:jc w:val="center"/>
      </w:pPr>
      <w:r>
        <w:rPr>
          <w:b/>
          <w:color w:val="1F4E79"/>
          <w:sz w:val="36"/>
        </w:rPr>
        <w:t>Pakketindex en Leeswijzer v2.4</w:t>
      </w:r>
    </w:p>
    <w:p>
      <w:pPr>
        <w:jc w:val="center"/>
      </w:pPr>
      <w:r>
        <w:rPr>
          <w:b w:val="0"/>
          <w:sz w:val="22"/>
        </w:rPr>
        <w:t>Directorystructuurharmonisatie en genormaliseerde pakketniveaus</w:t>
      </w:r>
    </w:p>
    <w:p>
      <w:r>
        <w:rPr>
          <w:b/>
        </w:rPr>
        <w:t xml:space="preserve">Datum: </w:t>
      </w:r>
      <w:r>
        <w:t>2026-04-21</w:t>
      </w:r>
    </w:p>
    <w:p>
      <w:r>
        <w:rPr>
          <w:b/>
        </w:rPr>
        <w:t xml:space="preserve">Versie: </w:t>
      </w:r>
      <w:r>
        <w:t>v2.4</w:t>
      </w:r>
    </w:p>
    <w:p>
      <w:r>
        <w:rPr>
          <w:b/>
        </w:rPr>
        <w:t xml:space="preserve">Relevantie: </w:t>
      </w:r>
      <w:r>
        <w:t>Leidend overzicht voor pakketstructuur en vindbaarheid</w:t>
      </w:r>
    </w:p>
    <w:p>
      <w:r>
        <w:rPr>
          <w:b/>
        </w:rPr>
        <w:t xml:space="preserve">Doel: </w:t>
      </w:r>
      <w:r>
        <w:t>Eenduidige directorylogica voor opslag, overdracht en doorontwikkeling</w:t>
      </w:r>
    </w:p>
    <w:p>
      <w:r>
        <w:rPr>
          <w:b/>
        </w:rPr>
        <w:t xml:space="preserve">Categorie: </w:t>
      </w:r>
      <w:r>
        <w:t>Pakketindex / Leeswijzer / Releaseoverzicht</w:t>
      </w:r>
    </w:p>
    <w:p>
      <w:r>
        <w:rPr>
          <w:b/>
        </w:rPr>
        <w:t xml:space="preserve">Bestandsnaam: </w:t>
      </w:r>
      <w:r>
        <w:t>CIV-CARE_HPP003_P000_Pakketindex_en_Leeswijzer_v2_4.docx</w:t>
      </w:r>
    </w:p>
    <w:p>
      <w:r>
        <w:rPr>
          <w:b/>
        </w:rPr>
        <w:t xml:space="preserve">Status: </w:t>
      </w:r>
      <w:r>
        <w:t>Releaseversie</w:t>
      </w:r>
    </w:p>
    <w:p>
      <w:pPr>
        <w:pBdr>
          <w:bottom w:val="single" w:sz="6" w:space="1" w:color="808080"/>
        </w:pBdr>
      </w:pPr>
    </w:p>
    <w:p>
      <w:r>
        <w:rPr>
          <w:b/>
          <w:color w:val="1F4E79"/>
          <w:sz w:val="26"/>
        </w:rPr>
        <w:t>Executive Summary</w:t>
      </w:r>
    </w:p>
    <w:p>
      <w:r>
        <w:rPr>
          <w:b w:val="0"/>
        </w:rPr>
        <w:t>Deze versie brengt de directorystructuur van het HPP003-documentpakket in lijn met een vaste archief- en groeilogica. De inhoud van de documenten blijft functioneel ongewijzigd; de nadruk van v2.4 ligt op nettere opslag, voorspelbare niveaus en betere overdraagbaarheid.</w:t>
      </w:r>
    </w:p>
    <w:p>
      <w:r>
        <w:rPr>
          <w:b/>
          <w:color w:val="1F4E79"/>
          <w:sz w:val="26"/>
        </w:rPr>
        <w:t>1. Hoofdstructuur</w:t>
      </w:r>
    </w:p>
    <w:p>
      <w:pPr>
        <w:pStyle w:val="ListBullet"/>
      </w:pPr>
      <w:r>
        <w:rPr>
          <w:b/>
        </w:rPr>
        <w:t xml:space="preserve">00_Leesmij — </w:t>
      </w:r>
      <w:r>
        <w:t>Overzichten, addenda en handleidingen</w:t>
      </w:r>
    </w:p>
    <w:p>
      <w:pPr>
        <w:pStyle w:val="ListBullet"/>
      </w:pPr>
      <w:r>
        <w:rPr>
          <w:b/>
        </w:rPr>
        <w:t xml:space="preserve">01_Kernset — </w:t>
      </w:r>
      <w:r>
        <w:t>Kernprompten en kernartefacten, gescheiden naar Markdown en DOCX</w:t>
      </w:r>
    </w:p>
    <w:p>
      <w:pPr>
        <w:pStyle w:val="ListBullet"/>
      </w:pPr>
      <w:r>
        <w:rPr>
          <w:b/>
        </w:rPr>
        <w:t xml:space="preserve">02_Normatieve_set — </w:t>
      </w:r>
      <w:r>
        <w:t>Normatieve documenten in DOCX-vorm</w:t>
      </w:r>
    </w:p>
    <w:p>
      <w:pPr>
        <w:pStyle w:val="ListBullet"/>
      </w:pPr>
      <w:r>
        <w:rPr>
          <w:b/>
        </w:rPr>
        <w:t xml:space="preserve">05_Position_Papers — </w:t>
      </w:r>
      <w:r>
        <w:t>Alle paperreeksen, gegroepeerd per reeks en formaat</w:t>
      </w:r>
    </w:p>
    <w:p>
      <w:r>
        <w:rPr>
          <w:b/>
          <w:color w:val="1F4E79"/>
          <w:sz w:val="26"/>
        </w:rPr>
        <w:t>2. Substructuur per hoofdmap</w:t>
      </w:r>
    </w:p>
    <w:p>
      <w:r>
        <w:rPr>
          <w:b/>
        </w:rPr>
        <w:t>00_Leesmij</w:t>
      </w:r>
    </w:p>
    <w:p>
      <w:pPr>
        <w:pStyle w:val="ListBullet2"/>
      </w:pPr>
      <w:r>
        <w:t>00_Overzichten</w:t>
      </w:r>
    </w:p>
    <w:p>
      <w:pPr>
        <w:pStyle w:val="ListBullet2"/>
      </w:pPr>
      <w:r>
        <w:t>01_Addenda</w:t>
      </w:r>
    </w:p>
    <w:p>
      <w:pPr>
        <w:pStyle w:val="ListBullet2"/>
      </w:pPr>
      <w:r>
        <w:t>02_Handleidingen</w:t>
      </w:r>
    </w:p>
    <w:p>
      <w:r>
        <w:rPr>
          <w:b/>
        </w:rPr>
        <w:t>01_Kernset</w:t>
      </w:r>
    </w:p>
    <w:p>
      <w:pPr>
        <w:pStyle w:val="ListBullet2"/>
      </w:pPr>
      <w:r>
        <w:t>01_Markdown</w:t>
      </w:r>
    </w:p>
    <w:p>
      <w:pPr>
        <w:pStyle w:val="ListBullet2"/>
      </w:pPr>
      <w:r>
        <w:t>02_Docx</w:t>
      </w:r>
    </w:p>
    <w:p>
      <w:r>
        <w:rPr>
          <w:b/>
        </w:rPr>
        <w:t>02_Normatieve_set</w:t>
      </w:r>
    </w:p>
    <w:p>
      <w:pPr>
        <w:pStyle w:val="ListBullet2"/>
      </w:pPr>
      <w:r>
        <w:t>01_Docx</w:t>
      </w:r>
    </w:p>
    <w:p>
      <w:r>
        <w:rPr>
          <w:b/>
        </w:rPr>
        <w:t>05_Position_Papers</w:t>
      </w:r>
    </w:p>
    <w:p>
      <w:pPr>
        <w:pStyle w:val="ListBullet2"/>
      </w:pPr>
      <w:r>
        <w:t>01_SHPP003_DOCX</w:t>
      </w:r>
    </w:p>
    <w:p>
      <w:pPr>
        <w:pStyle w:val="ListBullet2"/>
      </w:pPr>
      <w:r>
        <w:t>02_SDM_Serie_P001</w:t>
      </w:r>
    </w:p>
    <w:p>
      <w:pPr>
        <w:pStyle w:val="ListBullet2"/>
      </w:pPr>
      <w:r>
        <w:t>03_P001_Escalatiespoor_MD</w:t>
      </w:r>
    </w:p>
    <w:p>
      <w:pPr>
        <w:pStyle w:val="ListBullet2"/>
      </w:pPr>
      <w:r>
        <w:t>04_HPP004_Vertrouwenspoor_MD</w:t>
      </w:r>
    </w:p>
    <w:p>
      <w:r>
        <w:rPr>
          <w:b/>
          <w:color w:val="1F4E79"/>
          <w:sz w:val="26"/>
        </w:rPr>
        <w:t>3. Leidende bestanden</w:t>
      </w:r>
    </w:p>
    <w:p>
      <w:pPr>
        <w:pStyle w:val="ListBullet"/>
      </w:pPr>
      <w:r>
        <w:t>00_Leesmij/00_Overzichten/README.txt</w:t>
      </w:r>
    </w:p>
    <w:p>
      <w:pPr>
        <w:pStyle w:val="ListBullet"/>
      </w:pPr>
      <w:r>
        <w:t>00_Leesmij/00_Overzichten/pakket_manifest.csv</w:t>
      </w:r>
    </w:p>
    <w:p>
      <w:pPr>
        <w:pStyle w:val="ListBullet"/>
      </w:pPr>
      <w:r>
        <w:t>00_Leesmij/01_Addenda/CIV-CARE_HPP003_Addendum_v2_4_Directorystructuurharmonisatie.md</w:t>
      </w:r>
    </w:p>
    <w:p>
      <w:r>
        <w:rPr>
          <w:b/>
          <w:color w:val="1F4E79"/>
          <w:sz w:val="26"/>
        </w:rPr>
        <w:t>4. Release-opmerking</w:t>
      </w:r>
    </w:p>
    <w:p>
      <w:r>
        <w:rPr>
          <w:b w:val="0"/>
        </w:rPr>
        <w:t>Versie 2.4 harmoniseert de directorystructuur. De inhoudelijke promptversie blijft v2.7. Deze release is dus primair een pakket- en opslagcorrectie, niet een nieuwe inhoudelijke promptuitbreiding.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